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Bdr>
          <w:bottom w:val="nil"/>
        </w:pBdr>
        <w:widowControl/>
      </w:pPr>
      <w:r>
        <w:t>SESH Histoire et reconstruction historiographique assistée</w:t>
      </w:r>
    </w:p>
    <w:p>
      <w:pPr>
        <w:pStyle w:val="Subtitle"/>
        <w:jc w:val="center"/>
        <w:widowControl/>
      </w:pPr>
      <w:r>
        <w:t>Proposition méthodologique pour une analyse traçable des continuités des ruptures et des survivances</w:t>
      </w:r>
    </w:p>
    <w:p>
      <w:pPr>
        <w:spacing w:before="320"/>
        <w:jc w:val="center"/>
        <w:widowControl/>
      </w:pPr>
      <w:r>
        <w:rPr>
          <w:b/>
          <w:sz w:val="23"/>
        </w:rPr>
        <w:t>Frédéric Charles ADHOUT</w:t>
      </w:r>
    </w:p>
    <w:p>
      <w:pPr>
        <w:jc w:val="center"/>
        <w:widowControl/>
      </w:pPr>
      <w:r>
        <w:t>Université Houphouëtisme de Recherche, Dimbokro, Côte d’Ivoire</w:t>
      </w:r>
    </w:p>
    <w:p>
      <w:pPr>
        <w:jc w:val="center"/>
        <w:widowControl/>
      </w:pPr>
      <w:r>
        <w:t>ORCID à renseigner lors de la soumission</w:t>
      </w:r>
    </w:p>
    <w:p>
      <w:pPr>
        <w:pStyle w:val="Heading1"/>
        <w:widowControl/>
      </w:pPr>
      <w:r>
        <w:t>Résumé</w:t>
      </w:r>
    </w:p>
    <w:p>
      <w:pPr>
        <w:pStyle w:val="Abstract"/>
        <w:widowControl/>
      </w:pPr>
      <w:r>
        <w:t>Cet article propose SESH_Histoire comme méthode informatique d’assistance à la reconstruction historiographique. Le système organise un corpus en expressions documentaires, relations, formes interprétatives, structures candidates et architectures de réalité. Son objectif n’est pas d’automatiser la vérité historique, mais de rendre visibles les opérations qui conduisent d’une source à une interprétation. La méthode impose la séparation entre donnée attestée, extraction, relation proposée, hypothèse et conclusion validée. Elle associe à chaque objet un identifiant de source, un emplacement, une date, une version, une règle de transformation et un statut épistémique. Une étude de cas est proposée autour de la loi française no 46-645 du 11 avril 1946 supprimant le travail forcé dans les territoires d’outre-mer. Le cas permet de définir un protocole pour étudier l’événement juridique, ses antécédents, sa mise en œuvre et d’éventuelles survivances sociales sans confondre ressemblance lexicale, continuité institutionnelle et causalité historique. La contribution principale réside dans un modèle de recherche vérifiable par remontée depuis chaque proposition vers les sources et les transformations qui la soutiennent. L’article expose l’architecture, le protocole d’évaluation, les limites et les conditions de publication scientifique de futurs résultats produits avec SESH_Histoire.</w:t>
      </w:r>
    </w:p>
    <w:p>
      <w:pPr>
        <w:pStyle w:val="Abstract"/>
        <w:widowControl/>
      </w:pPr>
      <w:r>
        <w:t>Mots clés  histoire numérique, historiographie houphouëtiste, provenance, travail forcé, survivance, interprétation, reproductibilité</w:t>
      </w:r>
    </w:p>
    <w:p>
      <w:pPr>
        <w:pStyle w:val="Heading1"/>
        <w:widowControl/>
      </w:pPr>
      <w:r>
        <w:t>Abstract</w:t>
      </w:r>
    </w:p>
    <w:p>
      <w:pPr>
        <w:pStyle w:val="Abstract"/>
        <w:widowControl/>
      </w:pPr>
      <w:r>
        <w:t>This article introduces SESH_Histoire as a computational method for assisting historiographical reconstruction. The system organizes a corpus into documentary expressions, relations, interpretive forms, candidate structures, and architectures of reality. It does not automate historical truth. It makes explicit the operations that lead from sources to interpretations. The method separates attested data, extraction, proposed relations, hypotheses, and validated conclusions. Every object carries source, location, date, version, transformation rule, and epistemic-status metadata. A case study is designed around French Law No. 46-645 of 11 April 1946, which abolished forced labour in overseas territories. The case distinguishes a legal event, its antecedents, its implementation, and possible social survivals without confusing lexical similarity, institutional continuity, and historical causation. The main contribution is a research model in which each proposition can be traced back to its supporting sources and transformations. The article presents the architecture, evaluation protocol, limitations, and requirements for publishing future results produced with SESH_Histoire.</w:t>
      </w:r>
    </w:p>
    <w:p>
      <w:pPr>
        <w:pStyle w:val="Abstract"/>
        <w:widowControl/>
      </w:pPr>
      <w:r>
        <w:t>Keywords  digital history, Houphouëtist historiography, provenance, forced labour, survival, interpretation, reproducibility</w:t>
      </w:r>
    </w:p>
    <w:p>
      <w:pPr>
        <w:pStyle w:val="Heading1"/>
        <w:widowControl/>
      </w:pPr>
      <w:r>
        <w:t>Introduction</w:t>
      </w:r>
    </w:p>
    <w:p>
      <w:pPr>
        <w:widowControl/>
      </w:pPr>
      <w:r>
        <w:t>L’histoire numérique donne accès à des corpus plus vastes et permet de représenter des relations difficiles à suivre manuellement. Elle introduit cependant une exigence supplémentaire. Le lecteur doit pouvoir examiner non seulement les sources citées, mais aussi les opérations de sélection, de transformation et de calcul qui interviennent entre le document et la conclusion. Burrows (2023) montre que la vérifiabilité d’une recherche historique computationnelle dépend de la documentation des collections, des métadonnées, du logiciel, de ses paramètres et des traitements appliqués. Cette exigence rejoint les principes FAIR de repérabilité, d’accessibilité, d’interopérabilité et de réutilisation des données (Wilkinson et al., 2016), ainsi que les modèles de provenance proposés par le W3C (Lebo et al., 2013).</w:t>
      </w:r>
    </w:p>
    <w:p>
      <w:pPr>
        <w:widowControl/>
      </w:pPr>
      <w:r>
        <w:t>SESH_Histoire répond à ce problème par une architecture inspirée de la Philosophie Mathématique Houphouëtiste. Une source ne devient pas directement une vérité historique dans le système. Elle donne d’abord lieu à des expressions documentaires. Ces expressions peuvent être reliées, regroupées en formes et organisées en structures candidates. Une architecture interprétative n’est retenue qu’après examen de ses preuves, de ses contradictions et de ses lacunes. La connaissance historique est ainsi comprise comme une reconstruction partageable, attachée à des traces consultables et ouverte à la révision.</w:t>
      </w:r>
    </w:p>
    <w:p>
      <w:pPr>
        <w:widowControl/>
      </w:pPr>
      <w:r>
        <w:t>La question de recherche est la suivante : comment un système informatique fondé sur la chaîne expression, relation, forme, structure et architecture peut-il assister l’interprétation historique tout en préservant la distinction entre source, calcul et jugement savant ? L’hypothèse méthodologique est qu’un graphe de provenance enrichi de statuts épistémiques permet de produire des interprétations plus vérifiables qu’une sortie textuelle qui masque ses opérations intermédiaires.</w:t>
      </w:r>
    </w:p>
    <w:p>
      <w:pPr>
        <w:widowControl/>
      </w:pPr>
      <w:r>
        <w:t>L’article poursuit trois objectifs. Il définit les objets et les règles minimales de SESH_Histoire. Il propose un protocole d’étude reproductible appliqué à l’abolition du travail forcé en 1946. Il établit enfin des critères permettant d’évaluer scientifiquement le système sans lui attribuer une capacité qu’il ne possède pas : décider seul de la vérité d’un document ou d’une interprétation.</w:t>
      </w:r>
    </w:p>
    <w:p>
      <w:pPr>
        <w:pStyle w:val="Heading1"/>
        <w:widowControl/>
      </w:pPr>
      <w:r>
        <w:t>Cadre théorique</w:t>
      </w:r>
    </w:p>
    <w:p>
      <w:pPr>
        <w:pStyle w:val="Heading2"/>
        <w:widowControl/>
      </w:pPr>
      <w:r>
        <w:t>Reconstruction historique et preuve</w:t>
      </w:r>
    </w:p>
    <w:p>
      <w:pPr>
        <w:widowControl/>
      </w:pPr>
      <w:r>
        <w:t>Une recherche historique ne se réduit pas à l’accumulation de documents. Elle sélectionne des traces, évalue leur origine, les situe dans un contexte et construit une explication. La note de bas de page permet traditionnellement au lecteur de retrouver une source. Dans un dispositif informatique, cette fonction doit être étendue aux données intermédiaires et aux règles de traitement. Le passage d’un texte numérisé à une catégorie, puis d’une catégorie à un graphe ou à une chronologie, contient déjà des décisions interprétatives. Les rendre visibles ne supprime pas l’interprétation ; cela permet de la discuter.</w:t>
      </w:r>
    </w:p>
    <w:p>
      <w:pPr>
        <w:widowControl/>
      </w:pPr>
      <w:r>
        <w:t>La reproductibilité historique ne se confond pas avec la répétition d’une expérience de laboratoire. Elle signifie ici qu’un autre chercheur peut reconstituer le corpus utilisé, relancer les traitements documentés et comprendre pourquoi une proposition a été produite. Il peut ensuite accepter, modifier ou rejeter l’interprétation. Cette conception privilégie la vérifiabilité du chemin de preuve.</w:t>
      </w:r>
    </w:p>
    <w:p>
      <w:pPr>
        <w:pStyle w:val="Heading2"/>
        <w:widowControl/>
      </w:pPr>
      <w:r>
        <w:t>Historiographie houphouëtiste</w:t>
      </w:r>
    </w:p>
    <w:p>
      <w:pPr>
        <w:widowControl/>
      </w:pPr>
      <w:r>
        <w:t>L’historiographie houphouëtiste mobilisée par SESH_Histoire considère l’histoire comme la manifestation organisée de faits et de relations. Le devenir désigne ce qui n’est pas encore manifesté comme histoire achevée. La survivance désigne la continuité transformée d’une forme, d’une pratique ou d’un rapport au-delà du contexte qui l’a fait naître. Ces notions permettent de comparer plusieurs temporalités, mais elles imposent une discipline. Une analogie entre deux périodes ne suffit pas à établir une survivance. Celle-ci doit être appuyée par un mécanisme de transmission, une continuité d’acteurs, une institution, une norme, une pratique ou un faisceau d’indices convergents.</w:t>
      </w:r>
    </w:p>
    <w:p>
      <w:pPr>
        <w:widowControl/>
      </w:pPr>
      <w:r>
        <w:t>La chaîne expression, forme, structure et architecture constitue le cadre de reconstruction. SESH_Histoire ajoute la relation comme objet explicite entre l’expression et la forme. Cette insertion est décisive : elle empêche qu’un regroupement thématique soit présenté immédiatement comme une structure historique. La structure reste candidate tant que ses relations essentielles ne sont pas suffisamment étayées.</w:t>
      </w:r>
    </w:p>
    <w:p>
      <w:pPr>
        <w:pStyle w:val="Heading1"/>
        <w:widowControl/>
      </w:pPr>
      <w:r>
        <w:t>Architecture de SESH Histoire</w:t>
      </w:r>
    </w:p>
    <w:p>
      <w:pPr>
        <w:widowControl/>
      </w:pPr>
      <w:r>
        <w:t>SESH_Histoire est conçu comme un module spécialisé du Reality Engine de SESH. Il reçoit des unités documentaires et produit des objets interprétatifs traçables. Dans l’état actuel du projet, cette proposition constitue une architecture méthodologique destinée à guider le développement et l’expérimentation. Les résultats scientifiques devront être obtenus sur un corpus publié ou archivé avec ses paramètres d’analyse.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12"/>
        <w:gridCol w:w="2412"/>
        <w:gridCol w:w="2412"/>
        <w:gridCol w:w="2412"/>
      </w:tblGrid>
      <w:tr>
        <w:tc>
          <w:tcPr>
            <w:tcW w:type="dxa" w:w="792"/>
            <w:shd w:fill="26374A"/>
            <w:vAlign w:val="center"/>
            <w:tcMar>
              <w:top w:w="100" w:type="dxa"/>
              <w:start w:w="110" w:type="dxa"/>
              <w:bottom w:w="100" w:type="dxa"/>
              <w:end w:w="110" w:type="dxa"/>
            </w:tcMar>
          </w:tcPr>
          <w:p>
            <w:pPr>
              <w:jc w:val="center"/>
            </w:pPr>
            <w:r>
              <w:rPr>
                <w:b/>
                <w:color w:val="FFFFFF"/>
                <w:sz w:val="18"/>
              </w:rPr>
              <w:t>Niveau</w:t>
            </w:r>
          </w:p>
        </w:tc>
        <w:tc>
          <w:tcPr>
            <w:tcW w:type="dxa" w:w="1656"/>
            <w:shd w:fill="26374A"/>
            <w:vAlign w:val="center"/>
            <w:tcMar>
              <w:top w:w="100" w:type="dxa"/>
              <w:start w:w="110" w:type="dxa"/>
              <w:bottom w:w="100" w:type="dxa"/>
              <w:end w:w="110" w:type="dxa"/>
            </w:tcMar>
          </w:tcPr>
          <w:p>
            <w:pPr>
              <w:jc w:val="center"/>
            </w:pPr>
            <w:r>
              <w:rPr>
                <w:b/>
                <w:color w:val="FFFFFF"/>
                <w:sz w:val="18"/>
              </w:rPr>
              <w:t>Objet</w:t>
            </w:r>
          </w:p>
        </w:tc>
        <w:tc>
          <w:tcPr>
            <w:tcW w:type="dxa" w:w="3384"/>
            <w:shd w:fill="26374A"/>
            <w:vAlign w:val="center"/>
            <w:tcMar>
              <w:top w:w="100" w:type="dxa"/>
              <w:start w:w="110" w:type="dxa"/>
              <w:bottom w:w="100" w:type="dxa"/>
              <w:end w:w="110" w:type="dxa"/>
            </w:tcMar>
          </w:tcPr>
          <w:p>
            <w:pPr>
              <w:jc w:val="center"/>
            </w:pPr>
            <w:r>
              <w:rPr>
                <w:b/>
                <w:color w:val="FFFFFF"/>
                <w:sz w:val="18"/>
              </w:rPr>
              <w:t>Question scientifique</w:t>
            </w:r>
          </w:p>
        </w:tc>
        <w:tc>
          <w:tcPr>
            <w:tcW w:type="dxa" w:w="3816"/>
            <w:shd w:fill="26374A"/>
            <w:vAlign w:val="center"/>
            <w:tcMar>
              <w:top w:w="100" w:type="dxa"/>
              <w:start w:w="110" w:type="dxa"/>
              <w:bottom w:w="100" w:type="dxa"/>
              <w:end w:w="110" w:type="dxa"/>
            </w:tcMar>
          </w:tcPr>
          <w:p>
            <w:pPr>
              <w:jc w:val="center"/>
            </w:pPr>
            <w:r>
              <w:rPr>
                <w:b/>
                <w:color w:val="FFFFFF"/>
                <w:sz w:val="18"/>
              </w:rPr>
              <w:t>Sortie attendue</w:t>
            </w:r>
          </w:p>
        </w:tc>
      </w:tr>
      <w:tr>
        <w:tc>
          <w:tcPr>
            <w:tcW w:type="dxa" w:w="792"/>
            <w:vAlign w:val="center"/>
            <w:tcMar>
              <w:top w:w="100" w:type="dxa"/>
              <w:start w:w="110" w:type="dxa"/>
              <w:bottom w:w="100" w:type="dxa"/>
              <w:end w:w="110" w:type="dxa"/>
            </w:tcMar>
          </w:tcPr>
          <w:p>
            <w:pPr>
              <w:jc w:val="left"/>
            </w:pPr>
            <w:r>
              <w:rPr>
                <w:sz w:val="17"/>
              </w:rPr>
              <w:t>1</w:t>
            </w:r>
          </w:p>
        </w:tc>
        <w:tc>
          <w:tcPr>
            <w:tcW w:type="dxa" w:w="1656"/>
            <w:vAlign w:val="center"/>
            <w:tcMar>
              <w:top w:w="100" w:type="dxa"/>
              <w:start w:w="110" w:type="dxa"/>
              <w:bottom w:w="100" w:type="dxa"/>
              <w:end w:w="110" w:type="dxa"/>
            </w:tcMar>
          </w:tcPr>
          <w:p>
            <w:pPr>
              <w:jc w:val="left"/>
            </w:pPr>
            <w:r>
              <w:rPr>
                <w:sz w:val="17"/>
              </w:rPr>
              <w:t>Source</w:t>
            </w:r>
          </w:p>
        </w:tc>
        <w:tc>
          <w:tcPr>
            <w:tcW w:type="dxa" w:w="3384"/>
            <w:vAlign w:val="center"/>
            <w:tcMar>
              <w:top w:w="100" w:type="dxa"/>
              <w:start w:w="110" w:type="dxa"/>
              <w:bottom w:w="100" w:type="dxa"/>
              <w:end w:w="110" w:type="dxa"/>
            </w:tcMar>
          </w:tcPr>
          <w:p>
            <w:pPr>
              <w:jc w:val="left"/>
            </w:pPr>
            <w:r>
              <w:rPr>
                <w:sz w:val="17"/>
              </w:rPr>
              <w:t>D’où vient le document</w:t>
            </w:r>
          </w:p>
        </w:tc>
        <w:tc>
          <w:tcPr>
            <w:tcW w:type="dxa" w:w="3816"/>
            <w:vAlign w:val="center"/>
            <w:tcMar>
              <w:top w:w="100" w:type="dxa"/>
              <w:start w:w="110" w:type="dxa"/>
              <w:bottom w:w="100" w:type="dxa"/>
              <w:end w:w="110" w:type="dxa"/>
            </w:tcMar>
          </w:tcPr>
          <w:p>
            <w:pPr>
              <w:jc w:val="left"/>
            </w:pPr>
            <w:r>
              <w:rPr>
                <w:sz w:val="17"/>
              </w:rPr>
              <w:t>Notice, version, droits et localisation</w:t>
            </w:r>
          </w:p>
        </w:tc>
      </w:tr>
      <w:tr>
        <w:tc>
          <w:tcPr>
            <w:tcW w:type="dxa" w:w="792"/>
            <w:vAlign w:val="center"/>
            <w:tcMar>
              <w:top w:w="100" w:type="dxa"/>
              <w:start w:w="110" w:type="dxa"/>
              <w:bottom w:w="100" w:type="dxa"/>
              <w:end w:w="110" w:type="dxa"/>
            </w:tcMar>
            <w:shd w:fill="F2F5F8"/>
          </w:tcPr>
          <w:p>
            <w:pPr>
              <w:jc w:val="left"/>
            </w:pPr>
            <w:r>
              <w:rPr>
                <w:sz w:val="17"/>
              </w:rPr>
              <w:t>2</w:t>
            </w:r>
          </w:p>
        </w:tc>
        <w:tc>
          <w:tcPr>
            <w:tcW w:type="dxa" w:w="1656"/>
            <w:vAlign w:val="center"/>
            <w:tcMar>
              <w:top w:w="100" w:type="dxa"/>
              <w:start w:w="110" w:type="dxa"/>
              <w:bottom w:w="100" w:type="dxa"/>
              <w:end w:w="110" w:type="dxa"/>
            </w:tcMar>
            <w:shd w:fill="F2F5F8"/>
          </w:tcPr>
          <w:p>
            <w:pPr>
              <w:jc w:val="left"/>
            </w:pPr>
            <w:r>
              <w:rPr>
                <w:sz w:val="17"/>
              </w:rPr>
              <w:t>Expression</w:t>
            </w:r>
          </w:p>
        </w:tc>
        <w:tc>
          <w:tcPr>
            <w:tcW w:type="dxa" w:w="3384"/>
            <w:vAlign w:val="center"/>
            <w:tcMar>
              <w:top w:w="100" w:type="dxa"/>
              <w:start w:w="110" w:type="dxa"/>
              <w:bottom w:w="100" w:type="dxa"/>
              <w:end w:w="110" w:type="dxa"/>
            </w:tcMar>
            <w:shd w:fill="F2F5F8"/>
          </w:tcPr>
          <w:p>
            <w:pPr>
              <w:jc w:val="left"/>
            </w:pPr>
            <w:r>
              <w:rPr>
                <w:sz w:val="17"/>
              </w:rPr>
              <w:t>Que dit ou montre précisément la source</w:t>
            </w:r>
          </w:p>
        </w:tc>
        <w:tc>
          <w:tcPr>
            <w:tcW w:type="dxa" w:w="3816"/>
            <w:vAlign w:val="center"/>
            <w:tcMar>
              <w:top w:w="100" w:type="dxa"/>
              <w:start w:w="110" w:type="dxa"/>
              <w:bottom w:w="100" w:type="dxa"/>
              <w:end w:w="110" w:type="dxa"/>
            </w:tcMar>
            <w:shd w:fill="F2F5F8"/>
          </w:tcPr>
          <w:p>
            <w:pPr>
              <w:jc w:val="left"/>
            </w:pPr>
            <w:r>
              <w:rPr>
                <w:sz w:val="17"/>
              </w:rPr>
              <w:t>Extrait borné et référencé</w:t>
            </w:r>
          </w:p>
        </w:tc>
      </w:tr>
      <w:tr>
        <w:tc>
          <w:tcPr>
            <w:tcW w:type="dxa" w:w="792"/>
            <w:vAlign w:val="center"/>
            <w:tcMar>
              <w:top w:w="100" w:type="dxa"/>
              <w:start w:w="110" w:type="dxa"/>
              <w:bottom w:w="100" w:type="dxa"/>
              <w:end w:w="110" w:type="dxa"/>
            </w:tcMar>
          </w:tcPr>
          <w:p>
            <w:pPr>
              <w:jc w:val="left"/>
            </w:pPr>
            <w:r>
              <w:rPr>
                <w:sz w:val="17"/>
              </w:rPr>
              <w:t>3</w:t>
            </w:r>
          </w:p>
        </w:tc>
        <w:tc>
          <w:tcPr>
            <w:tcW w:type="dxa" w:w="1656"/>
            <w:vAlign w:val="center"/>
            <w:tcMar>
              <w:top w:w="100" w:type="dxa"/>
              <w:start w:w="110" w:type="dxa"/>
              <w:bottom w:w="100" w:type="dxa"/>
              <w:end w:w="110" w:type="dxa"/>
            </w:tcMar>
          </w:tcPr>
          <w:p>
            <w:pPr>
              <w:jc w:val="left"/>
            </w:pPr>
            <w:r>
              <w:rPr>
                <w:sz w:val="17"/>
              </w:rPr>
              <w:t>Relation</w:t>
            </w:r>
          </w:p>
        </w:tc>
        <w:tc>
          <w:tcPr>
            <w:tcW w:type="dxa" w:w="3384"/>
            <w:vAlign w:val="center"/>
            <w:tcMar>
              <w:top w:w="100" w:type="dxa"/>
              <w:start w:w="110" w:type="dxa"/>
              <w:bottom w:w="100" w:type="dxa"/>
              <w:end w:w="110" w:type="dxa"/>
            </w:tcMar>
          </w:tcPr>
          <w:p>
            <w:pPr>
              <w:jc w:val="left"/>
            </w:pPr>
            <w:r>
              <w:rPr>
                <w:sz w:val="17"/>
              </w:rPr>
              <w:t>Quel lien est proposé entre deux objets</w:t>
            </w:r>
          </w:p>
        </w:tc>
        <w:tc>
          <w:tcPr>
            <w:tcW w:type="dxa" w:w="3816"/>
            <w:vAlign w:val="center"/>
            <w:tcMar>
              <w:top w:w="100" w:type="dxa"/>
              <w:start w:w="110" w:type="dxa"/>
              <w:bottom w:w="100" w:type="dxa"/>
              <w:end w:w="110" w:type="dxa"/>
            </w:tcMar>
          </w:tcPr>
          <w:p>
            <w:pPr>
              <w:jc w:val="left"/>
            </w:pPr>
            <w:r>
              <w:rPr>
                <w:sz w:val="17"/>
              </w:rPr>
              <w:t>Type, direction, justification et confiance</w:t>
            </w:r>
          </w:p>
        </w:tc>
      </w:tr>
      <w:tr>
        <w:tc>
          <w:tcPr>
            <w:tcW w:type="dxa" w:w="792"/>
            <w:vAlign w:val="center"/>
            <w:tcMar>
              <w:top w:w="100" w:type="dxa"/>
              <w:start w:w="110" w:type="dxa"/>
              <w:bottom w:w="100" w:type="dxa"/>
              <w:end w:w="110" w:type="dxa"/>
            </w:tcMar>
            <w:shd w:fill="F2F5F8"/>
          </w:tcPr>
          <w:p>
            <w:pPr>
              <w:jc w:val="left"/>
            </w:pPr>
            <w:r>
              <w:rPr>
                <w:sz w:val="17"/>
              </w:rPr>
              <w:t>4</w:t>
            </w:r>
          </w:p>
        </w:tc>
        <w:tc>
          <w:tcPr>
            <w:tcW w:type="dxa" w:w="1656"/>
            <w:vAlign w:val="center"/>
            <w:tcMar>
              <w:top w:w="100" w:type="dxa"/>
              <w:start w:w="110" w:type="dxa"/>
              <w:bottom w:w="100" w:type="dxa"/>
              <w:end w:w="110" w:type="dxa"/>
            </w:tcMar>
            <w:shd w:fill="F2F5F8"/>
          </w:tcPr>
          <w:p>
            <w:pPr>
              <w:jc w:val="left"/>
            </w:pPr>
            <w:r>
              <w:rPr>
                <w:sz w:val="17"/>
              </w:rPr>
              <w:t>Forme</w:t>
            </w:r>
          </w:p>
        </w:tc>
        <w:tc>
          <w:tcPr>
            <w:tcW w:type="dxa" w:w="3384"/>
            <w:vAlign w:val="center"/>
            <w:tcMar>
              <w:top w:w="100" w:type="dxa"/>
              <w:start w:w="110" w:type="dxa"/>
              <w:bottom w:w="100" w:type="dxa"/>
              <w:end w:w="110" w:type="dxa"/>
            </w:tcMar>
            <w:shd w:fill="F2F5F8"/>
          </w:tcPr>
          <w:p>
            <w:pPr>
              <w:jc w:val="left"/>
            </w:pPr>
            <w:r>
              <w:rPr>
                <w:sz w:val="17"/>
              </w:rPr>
              <w:t>Quel motif apparaît dans plusieurs expressions</w:t>
            </w:r>
          </w:p>
        </w:tc>
        <w:tc>
          <w:tcPr>
            <w:tcW w:type="dxa" w:w="3816"/>
            <w:vAlign w:val="center"/>
            <w:tcMar>
              <w:top w:w="100" w:type="dxa"/>
              <w:start w:w="110" w:type="dxa"/>
              <w:bottom w:w="100" w:type="dxa"/>
              <w:end w:w="110" w:type="dxa"/>
            </w:tcMar>
            <w:shd w:fill="F2F5F8"/>
          </w:tcPr>
          <w:p>
            <w:pPr>
              <w:jc w:val="left"/>
            </w:pPr>
            <w:r>
              <w:rPr>
                <w:sz w:val="17"/>
              </w:rPr>
              <w:t>Regroupement explicable et contre exemples</w:t>
            </w:r>
          </w:p>
        </w:tc>
      </w:tr>
      <w:tr>
        <w:tc>
          <w:tcPr>
            <w:tcW w:type="dxa" w:w="792"/>
            <w:vAlign w:val="center"/>
            <w:tcMar>
              <w:top w:w="100" w:type="dxa"/>
              <w:start w:w="110" w:type="dxa"/>
              <w:bottom w:w="100" w:type="dxa"/>
              <w:end w:w="110" w:type="dxa"/>
            </w:tcMar>
          </w:tcPr>
          <w:p>
            <w:pPr>
              <w:jc w:val="left"/>
            </w:pPr>
            <w:r>
              <w:rPr>
                <w:sz w:val="17"/>
              </w:rPr>
              <w:t>5</w:t>
            </w:r>
          </w:p>
        </w:tc>
        <w:tc>
          <w:tcPr>
            <w:tcW w:type="dxa" w:w="1656"/>
            <w:vAlign w:val="center"/>
            <w:tcMar>
              <w:top w:w="100" w:type="dxa"/>
              <w:start w:w="110" w:type="dxa"/>
              <w:bottom w:w="100" w:type="dxa"/>
              <w:end w:w="110" w:type="dxa"/>
            </w:tcMar>
          </w:tcPr>
          <w:p>
            <w:pPr>
              <w:jc w:val="left"/>
            </w:pPr>
            <w:r>
              <w:rPr>
                <w:sz w:val="17"/>
              </w:rPr>
              <w:t>Structure candidate</w:t>
            </w:r>
          </w:p>
        </w:tc>
        <w:tc>
          <w:tcPr>
            <w:tcW w:type="dxa" w:w="3384"/>
            <w:vAlign w:val="center"/>
            <w:tcMar>
              <w:top w:w="100" w:type="dxa"/>
              <w:start w:w="110" w:type="dxa"/>
              <w:bottom w:w="100" w:type="dxa"/>
              <w:end w:w="110" w:type="dxa"/>
            </w:tcMar>
          </w:tcPr>
          <w:p>
            <w:pPr>
              <w:jc w:val="left"/>
            </w:pPr>
            <w:r>
              <w:rPr>
                <w:sz w:val="17"/>
              </w:rPr>
              <w:t>Comment les formes s’organisent elles</w:t>
            </w:r>
          </w:p>
        </w:tc>
        <w:tc>
          <w:tcPr>
            <w:tcW w:type="dxa" w:w="3816"/>
            <w:vAlign w:val="center"/>
            <w:tcMar>
              <w:top w:w="100" w:type="dxa"/>
              <w:start w:w="110" w:type="dxa"/>
              <w:bottom w:w="100" w:type="dxa"/>
              <w:end w:w="110" w:type="dxa"/>
            </w:tcMar>
          </w:tcPr>
          <w:p>
            <w:pPr>
              <w:jc w:val="left"/>
            </w:pPr>
            <w:r>
              <w:rPr>
                <w:sz w:val="17"/>
              </w:rPr>
              <w:t>Graphe testable et hypothèses concurrentes</w:t>
            </w:r>
          </w:p>
        </w:tc>
      </w:tr>
      <w:tr>
        <w:tc>
          <w:tcPr>
            <w:tcW w:type="dxa" w:w="792"/>
            <w:vAlign w:val="center"/>
            <w:tcMar>
              <w:top w:w="100" w:type="dxa"/>
              <w:start w:w="110" w:type="dxa"/>
              <w:bottom w:w="100" w:type="dxa"/>
              <w:end w:w="110" w:type="dxa"/>
            </w:tcMar>
            <w:shd w:fill="F2F5F8"/>
          </w:tcPr>
          <w:p>
            <w:pPr>
              <w:jc w:val="left"/>
            </w:pPr>
            <w:r>
              <w:rPr>
                <w:sz w:val="17"/>
              </w:rPr>
              <w:t>6</w:t>
            </w:r>
          </w:p>
        </w:tc>
        <w:tc>
          <w:tcPr>
            <w:tcW w:type="dxa" w:w="1656"/>
            <w:vAlign w:val="center"/>
            <w:tcMar>
              <w:top w:w="100" w:type="dxa"/>
              <w:start w:w="110" w:type="dxa"/>
              <w:bottom w:w="100" w:type="dxa"/>
              <w:end w:w="110" w:type="dxa"/>
            </w:tcMar>
            <w:shd w:fill="F2F5F8"/>
          </w:tcPr>
          <w:p>
            <w:pPr>
              <w:jc w:val="left"/>
            </w:pPr>
            <w:r>
              <w:rPr>
                <w:sz w:val="17"/>
              </w:rPr>
              <w:t>Architecture</w:t>
            </w:r>
          </w:p>
        </w:tc>
        <w:tc>
          <w:tcPr>
            <w:tcW w:type="dxa" w:w="3384"/>
            <w:vAlign w:val="center"/>
            <w:tcMar>
              <w:top w:w="100" w:type="dxa"/>
              <w:start w:w="110" w:type="dxa"/>
              <w:bottom w:w="100" w:type="dxa"/>
              <w:end w:w="110" w:type="dxa"/>
            </w:tcMar>
            <w:shd w:fill="F2F5F8"/>
          </w:tcPr>
          <w:p>
            <w:pPr>
              <w:jc w:val="left"/>
            </w:pPr>
            <w:r>
              <w:rPr>
                <w:sz w:val="17"/>
              </w:rPr>
              <w:t>Quelle reconstruction résiste à l’examen</w:t>
            </w:r>
          </w:p>
        </w:tc>
        <w:tc>
          <w:tcPr>
            <w:tcW w:type="dxa" w:w="3816"/>
            <w:vAlign w:val="center"/>
            <w:tcMar>
              <w:top w:w="100" w:type="dxa"/>
              <w:start w:w="110" w:type="dxa"/>
              <w:bottom w:w="100" w:type="dxa"/>
              <w:end w:w="110" w:type="dxa"/>
            </w:tcMar>
            <w:shd w:fill="F2F5F8"/>
          </w:tcPr>
          <w:p>
            <w:pPr>
              <w:jc w:val="left"/>
            </w:pPr>
            <w:r>
              <w:rPr>
                <w:sz w:val="17"/>
              </w:rPr>
              <w:t>Interprétation validée, bornée et révisable</w:t>
            </w:r>
          </w:p>
        </w:tc>
      </w:tr>
    </w:tbl>
    <w:p>
      <w:pPr>
        <w:spacing w:after="20"/>
        <w:widowControl/>
      </w:pPr>
    </w:p>
    <w:p>
      <w:pPr>
        <w:pStyle w:val="Heading2"/>
        <w:widowControl/>
      </w:pPr>
      <w:r>
        <w:t>Statuts épistémiques</w:t>
      </w:r>
    </w:p>
    <w:p>
      <w:pPr>
        <w:widowControl/>
      </w:pPr>
      <w:r>
        <w:t>Chaque objet reçoit un statut qui interdit la confusion entre une donnée et une conclusion. Les statuts minimaux sont attesté, extrait, normalisé, inféré, contesté, corroboré, réfuté et indéterminé. Le statut attesté signifie seulement que l’élément figure dans une source identifiée. Il ne garantit ni la sincérité de l’auteur, ni l’exactitude du contenu, ni sa représentativité. Le statut corroboré exige des indices indépendants ou une validation experte documentée.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16"/>
        <w:gridCol w:w="3216"/>
        <w:gridCol w:w="3216"/>
      </w:tblGrid>
      <w:tr>
        <w:tc>
          <w:tcPr>
            <w:tcW w:type="dxa" w:w="1440"/>
            <w:shd w:fill="26374A"/>
            <w:vAlign w:val="center"/>
            <w:tcMar>
              <w:top w:w="100" w:type="dxa"/>
              <w:start w:w="110" w:type="dxa"/>
              <w:bottom w:w="100" w:type="dxa"/>
              <w:end w:w="110" w:type="dxa"/>
            </w:tcMar>
          </w:tcPr>
          <w:p>
            <w:pPr>
              <w:jc w:val="center"/>
            </w:pPr>
            <w:r>
              <w:rPr>
                <w:b/>
                <w:color w:val="FFFFFF"/>
                <w:sz w:val="18"/>
              </w:rPr>
              <w:t>Statut</w:t>
            </w:r>
          </w:p>
        </w:tc>
        <w:tc>
          <w:tcPr>
            <w:tcW w:type="dxa" w:w="4320"/>
            <w:shd w:fill="26374A"/>
            <w:vAlign w:val="center"/>
            <w:tcMar>
              <w:top w:w="100" w:type="dxa"/>
              <w:start w:w="110" w:type="dxa"/>
              <w:bottom w:w="100" w:type="dxa"/>
              <w:end w:w="110" w:type="dxa"/>
            </w:tcMar>
          </w:tcPr>
          <w:p>
            <w:pPr>
              <w:jc w:val="center"/>
            </w:pPr>
            <w:r>
              <w:rPr>
                <w:b/>
                <w:color w:val="FFFFFF"/>
                <w:sz w:val="18"/>
              </w:rPr>
              <w:t>Sens</w:t>
            </w:r>
          </w:p>
        </w:tc>
        <w:tc>
          <w:tcPr>
            <w:tcW w:type="dxa" w:w="4464"/>
            <w:shd w:fill="26374A"/>
            <w:vAlign w:val="center"/>
            <w:tcMar>
              <w:top w:w="100" w:type="dxa"/>
              <w:start w:w="110" w:type="dxa"/>
              <w:bottom w:w="100" w:type="dxa"/>
              <w:end w:w="110" w:type="dxa"/>
            </w:tcMar>
          </w:tcPr>
          <w:p>
            <w:pPr>
              <w:jc w:val="center"/>
            </w:pPr>
            <w:r>
              <w:rPr>
                <w:b/>
                <w:color w:val="FFFFFF"/>
                <w:sz w:val="18"/>
              </w:rPr>
              <w:t>Condition de passage</w:t>
            </w:r>
          </w:p>
        </w:tc>
      </w:tr>
      <w:tr>
        <w:tc>
          <w:tcPr>
            <w:tcW w:type="dxa" w:w="1440"/>
            <w:vAlign w:val="center"/>
            <w:tcMar>
              <w:top w:w="100" w:type="dxa"/>
              <w:start w:w="110" w:type="dxa"/>
              <w:bottom w:w="100" w:type="dxa"/>
              <w:end w:w="110" w:type="dxa"/>
            </w:tcMar>
          </w:tcPr>
          <w:p>
            <w:pPr>
              <w:jc w:val="left"/>
            </w:pPr>
            <w:r>
              <w:rPr>
                <w:sz w:val="17"/>
              </w:rPr>
              <w:t>Attesté</w:t>
            </w:r>
          </w:p>
        </w:tc>
        <w:tc>
          <w:tcPr>
            <w:tcW w:type="dxa" w:w="4320"/>
            <w:vAlign w:val="center"/>
            <w:tcMar>
              <w:top w:w="100" w:type="dxa"/>
              <w:start w:w="110" w:type="dxa"/>
              <w:bottom w:w="100" w:type="dxa"/>
              <w:end w:w="110" w:type="dxa"/>
            </w:tcMar>
          </w:tcPr>
          <w:p>
            <w:pPr>
              <w:jc w:val="left"/>
            </w:pPr>
            <w:r>
              <w:rPr>
                <w:sz w:val="17"/>
              </w:rPr>
              <w:t>Présent dans une source localisée</w:t>
            </w:r>
          </w:p>
        </w:tc>
        <w:tc>
          <w:tcPr>
            <w:tcW w:type="dxa" w:w="4464"/>
            <w:vAlign w:val="center"/>
            <w:tcMar>
              <w:top w:w="100" w:type="dxa"/>
              <w:start w:w="110" w:type="dxa"/>
              <w:bottom w:w="100" w:type="dxa"/>
              <w:end w:w="110" w:type="dxa"/>
            </w:tcMar>
          </w:tcPr>
          <w:p>
            <w:pPr>
              <w:jc w:val="left"/>
            </w:pPr>
            <w:r>
              <w:rPr>
                <w:sz w:val="17"/>
              </w:rPr>
              <w:t>Contrôle de la référence et de l’extrait</w:t>
            </w:r>
          </w:p>
        </w:tc>
      </w:tr>
      <w:tr>
        <w:tc>
          <w:tcPr>
            <w:tcW w:type="dxa" w:w="1440"/>
            <w:vAlign w:val="center"/>
            <w:tcMar>
              <w:top w:w="100" w:type="dxa"/>
              <w:start w:w="110" w:type="dxa"/>
              <w:bottom w:w="100" w:type="dxa"/>
              <w:end w:w="110" w:type="dxa"/>
            </w:tcMar>
            <w:shd w:fill="F2F5F8"/>
          </w:tcPr>
          <w:p>
            <w:pPr>
              <w:jc w:val="left"/>
            </w:pPr>
            <w:r>
              <w:rPr>
                <w:sz w:val="17"/>
              </w:rPr>
              <w:t>Inféré</w:t>
            </w:r>
          </w:p>
        </w:tc>
        <w:tc>
          <w:tcPr>
            <w:tcW w:type="dxa" w:w="4320"/>
            <w:vAlign w:val="center"/>
            <w:tcMar>
              <w:top w:w="100" w:type="dxa"/>
              <w:start w:w="110" w:type="dxa"/>
              <w:bottom w:w="100" w:type="dxa"/>
              <w:end w:w="110" w:type="dxa"/>
            </w:tcMar>
            <w:shd w:fill="F2F5F8"/>
          </w:tcPr>
          <w:p>
            <w:pPr>
              <w:jc w:val="left"/>
            </w:pPr>
            <w:r>
              <w:rPr>
                <w:sz w:val="17"/>
              </w:rPr>
              <w:t>Produit par une règle ou une comparaison</w:t>
            </w:r>
          </w:p>
        </w:tc>
        <w:tc>
          <w:tcPr>
            <w:tcW w:type="dxa" w:w="4464"/>
            <w:vAlign w:val="center"/>
            <w:tcMar>
              <w:top w:w="100" w:type="dxa"/>
              <w:start w:w="110" w:type="dxa"/>
              <w:bottom w:w="100" w:type="dxa"/>
              <w:end w:w="110" w:type="dxa"/>
            </w:tcMar>
            <w:shd w:fill="F2F5F8"/>
          </w:tcPr>
          <w:p>
            <w:pPr>
              <w:jc w:val="left"/>
            </w:pPr>
            <w:r>
              <w:rPr>
                <w:sz w:val="17"/>
              </w:rPr>
              <w:t>Règle, paramètres et objets d’entrée conservés</w:t>
            </w:r>
          </w:p>
        </w:tc>
      </w:tr>
      <w:tr>
        <w:tc>
          <w:tcPr>
            <w:tcW w:type="dxa" w:w="1440"/>
            <w:vAlign w:val="center"/>
            <w:tcMar>
              <w:top w:w="100" w:type="dxa"/>
              <w:start w:w="110" w:type="dxa"/>
              <w:bottom w:w="100" w:type="dxa"/>
              <w:end w:w="110" w:type="dxa"/>
            </w:tcMar>
          </w:tcPr>
          <w:p>
            <w:pPr>
              <w:jc w:val="left"/>
            </w:pPr>
            <w:r>
              <w:rPr>
                <w:sz w:val="17"/>
              </w:rPr>
              <w:t>Contesté</w:t>
            </w:r>
          </w:p>
        </w:tc>
        <w:tc>
          <w:tcPr>
            <w:tcW w:type="dxa" w:w="4320"/>
            <w:vAlign w:val="center"/>
            <w:tcMar>
              <w:top w:w="100" w:type="dxa"/>
              <w:start w:w="110" w:type="dxa"/>
              <w:bottom w:w="100" w:type="dxa"/>
              <w:end w:w="110" w:type="dxa"/>
            </w:tcMar>
          </w:tcPr>
          <w:p>
            <w:pPr>
              <w:jc w:val="left"/>
            </w:pPr>
            <w:r>
              <w:rPr>
                <w:sz w:val="17"/>
              </w:rPr>
              <w:t>Mis en cause par une source ou un évaluateur</w:t>
            </w:r>
          </w:p>
        </w:tc>
        <w:tc>
          <w:tcPr>
            <w:tcW w:type="dxa" w:w="4464"/>
            <w:vAlign w:val="center"/>
            <w:tcMar>
              <w:top w:w="100" w:type="dxa"/>
              <w:start w:w="110" w:type="dxa"/>
              <w:bottom w:w="100" w:type="dxa"/>
              <w:end w:w="110" w:type="dxa"/>
            </w:tcMar>
          </w:tcPr>
          <w:p>
            <w:pPr>
              <w:jc w:val="left"/>
            </w:pPr>
            <w:r>
              <w:rPr>
                <w:sz w:val="17"/>
              </w:rPr>
              <w:t>Objection enregistrée sans effacer l’objet</w:t>
            </w:r>
          </w:p>
        </w:tc>
      </w:tr>
      <w:tr>
        <w:tc>
          <w:tcPr>
            <w:tcW w:type="dxa" w:w="1440"/>
            <w:vAlign w:val="center"/>
            <w:tcMar>
              <w:top w:w="100" w:type="dxa"/>
              <w:start w:w="110" w:type="dxa"/>
              <w:bottom w:w="100" w:type="dxa"/>
              <w:end w:w="110" w:type="dxa"/>
            </w:tcMar>
            <w:shd w:fill="F2F5F8"/>
          </w:tcPr>
          <w:p>
            <w:pPr>
              <w:jc w:val="left"/>
            </w:pPr>
            <w:r>
              <w:rPr>
                <w:sz w:val="17"/>
              </w:rPr>
              <w:t>Corroboré</w:t>
            </w:r>
          </w:p>
        </w:tc>
        <w:tc>
          <w:tcPr>
            <w:tcW w:type="dxa" w:w="4320"/>
            <w:vAlign w:val="center"/>
            <w:tcMar>
              <w:top w:w="100" w:type="dxa"/>
              <w:start w:w="110" w:type="dxa"/>
              <w:bottom w:w="100" w:type="dxa"/>
              <w:end w:w="110" w:type="dxa"/>
            </w:tcMar>
            <w:shd w:fill="F2F5F8"/>
          </w:tcPr>
          <w:p>
            <w:pPr>
              <w:jc w:val="left"/>
            </w:pPr>
            <w:r>
              <w:rPr>
                <w:sz w:val="17"/>
              </w:rPr>
              <w:t>Soutenu par plusieurs éléments indépendants</w:t>
            </w:r>
          </w:p>
        </w:tc>
        <w:tc>
          <w:tcPr>
            <w:tcW w:type="dxa" w:w="4464"/>
            <w:vAlign w:val="center"/>
            <w:tcMar>
              <w:top w:w="100" w:type="dxa"/>
              <w:start w:w="110" w:type="dxa"/>
              <w:bottom w:w="100" w:type="dxa"/>
              <w:end w:w="110" w:type="dxa"/>
            </w:tcMar>
            <w:shd w:fill="F2F5F8"/>
          </w:tcPr>
          <w:p>
            <w:pPr>
              <w:jc w:val="left"/>
            </w:pPr>
            <w:r>
              <w:rPr>
                <w:sz w:val="17"/>
              </w:rPr>
              <w:t>Justification de leur indépendance</w:t>
            </w:r>
          </w:p>
        </w:tc>
      </w:tr>
      <w:tr>
        <w:tc>
          <w:tcPr>
            <w:tcW w:type="dxa" w:w="1440"/>
            <w:vAlign w:val="center"/>
            <w:tcMar>
              <w:top w:w="100" w:type="dxa"/>
              <w:start w:w="110" w:type="dxa"/>
              <w:bottom w:w="100" w:type="dxa"/>
              <w:end w:w="110" w:type="dxa"/>
            </w:tcMar>
          </w:tcPr>
          <w:p>
            <w:pPr>
              <w:jc w:val="left"/>
            </w:pPr>
            <w:r>
              <w:rPr>
                <w:sz w:val="17"/>
              </w:rPr>
              <w:t>Réfuté</w:t>
            </w:r>
          </w:p>
        </w:tc>
        <w:tc>
          <w:tcPr>
            <w:tcW w:type="dxa" w:w="4320"/>
            <w:vAlign w:val="center"/>
            <w:tcMar>
              <w:top w:w="100" w:type="dxa"/>
              <w:start w:w="110" w:type="dxa"/>
              <w:bottom w:w="100" w:type="dxa"/>
              <w:end w:w="110" w:type="dxa"/>
            </w:tcMar>
          </w:tcPr>
          <w:p>
            <w:pPr>
              <w:jc w:val="left"/>
            </w:pPr>
            <w:r>
              <w:rPr>
                <w:sz w:val="17"/>
              </w:rPr>
              <w:t>Incompatible avec une preuve jugée décisive</w:t>
            </w:r>
          </w:p>
        </w:tc>
        <w:tc>
          <w:tcPr>
            <w:tcW w:type="dxa" w:w="4464"/>
            <w:vAlign w:val="center"/>
            <w:tcMar>
              <w:top w:w="100" w:type="dxa"/>
              <w:start w:w="110" w:type="dxa"/>
              <w:bottom w:w="100" w:type="dxa"/>
              <w:end w:w="110" w:type="dxa"/>
            </w:tcMar>
          </w:tcPr>
          <w:p>
            <w:pPr>
              <w:jc w:val="left"/>
            </w:pPr>
            <w:r>
              <w:rPr>
                <w:sz w:val="17"/>
              </w:rPr>
              <w:t>Décision motivée et réversible</w:t>
            </w:r>
          </w:p>
        </w:tc>
      </w:tr>
      <w:tr>
        <w:tc>
          <w:tcPr>
            <w:tcW w:type="dxa" w:w="1440"/>
            <w:vAlign w:val="center"/>
            <w:tcMar>
              <w:top w:w="100" w:type="dxa"/>
              <w:start w:w="110" w:type="dxa"/>
              <w:bottom w:w="100" w:type="dxa"/>
              <w:end w:w="110" w:type="dxa"/>
            </w:tcMar>
            <w:shd w:fill="F2F5F8"/>
          </w:tcPr>
          <w:p>
            <w:pPr>
              <w:jc w:val="left"/>
            </w:pPr>
            <w:r>
              <w:rPr>
                <w:sz w:val="17"/>
              </w:rPr>
              <w:t>Indéterminé</w:t>
            </w:r>
          </w:p>
        </w:tc>
        <w:tc>
          <w:tcPr>
            <w:tcW w:type="dxa" w:w="4320"/>
            <w:vAlign w:val="center"/>
            <w:tcMar>
              <w:top w:w="100" w:type="dxa"/>
              <w:start w:w="110" w:type="dxa"/>
              <w:bottom w:w="100" w:type="dxa"/>
              <w:end w:w="110" w:type="dxa"/>
            </w:tcMar>
            <w:shd w:fill="F2F5F8"/>
          </w:tcPr>
          <w:p>
            <w:pPr>
              <w:jc w:val="left"/>
            </w:pPr>
            <w:r>
              <w:rPr>
                <w:sz w:val="17"/>
              </w:rPr>
              <w:t>Preuve insuffisante pour conclure</w:t>
            </w:r>
          </w:p>
        </w:tc>
        <w:tc>
          <w:tcPr>
            <w:tcW w:type="dxa" w:w="4464"/>
            <w:vAlign w:val="center"/>
            <w:tcMar>
              <w:top w:w="100" w:type="dxa"/>
              <w:start w:w="110" w:type="dxa"/>
              <w:bottom w:w="100" w:type="dxa"/>
              <w:end w:w="110" w:type="dxa"/>
            </w:tcMar>
            <w:shd w:fill="F2F5F8"/>
          </w:tcPr>
          <w:p>
            <w:pPr>
              <w:jc w:val="left"/>
            </w:pPr>
            <w:r>
              <w:rPr>
                <w:sz w:val="17"/>
              </w:rPr>
              <w:t>Lacune et donnée nécessaire explicitées</w:t>
            </w:r>
          </w:p>
        </w:tc>
      </w:tr>
    </w:tbl>
    <w:p>
      <w:pPr>
        <w:spacing w:after="20"/>
        <w:widowControl/>
      </w:pPr>
    </w:p>
    <w:p>
      <w:pPr>
        <w:pStyle w:val="Heading2"/>
        <w:widowControl/>
      </w:pPr>
      <w:r>
        <w:t>Provenance et journal de transformation</w:t>
      </w:r>
    </w:p>
    <w:p>
      <w:pPr>
        <w:widowControl/>
      </w:pPr>
      <w:r>
        <w:t>La provenance associe chaque sortie aux entités, aux activités et aux agents qui l’ont produite. SESH_Histoire adopte ce principe sous une forme adaptée à l’histoire. Une proposition conserve l’identifiant du document, la page ou le segment, la transcription, l’auteur de l’annotation, la date, la version du schéma, la règle appliquée et l’éventuelle validation. Cette organisation est compatible avec l’esprit du modèle PROV du W3C, qui distingue entités, activités et agents.</w:t>
      </w:r>
    </w:p>
    <w:p>
      <w:pPr>
        <w:widowControl/>
      </w:pPr>
      <w:r>
        <w:t>Le journal de transformation doit être append-only pour les opérations scientifiques : une correction crée une nouvelle version et n’efface pas silencieusement la précédente. Cette règle permet d’étudier l’évolution de l’interprétation et de comprendre pourquoi une structure a été abandonnée ou stabilisée.</w:t>
      </w:r>
    </w:p>
    <w:p>
      <w:pPr>
        <w:pStyle w:val="Heading1"/>
        <w:widowControl/>
      </w:pPr>
      <w:r>
        <w:t>Méthode proposée</w:t>
      </w:r>
    </w:p>
    <w:p>
      <w:pPr>
        <w:pStyle w:val="Heading2"/>
        <w:widowControl/>
      </w:pPr>
      <w:r>
        <w:t>Constitution du corpus</w:t>
      </w:r>
    </w:p>
    <w:p>
      <w:pPr>
        <w:widowControl/>
      </w:pPr>
      <w:r>
        <w:t>Le corpus pilote portera sur l’abolition du travail forcé dans les territoires français d’outre-mer. Son noyau primaire doit comprendre la loi no 46-645 du 11 avril 1946, les débats parlementaires associés lorsqu’ils sont disponibles, des écrits ou discours de Félix Houphouët-Boigny dont l’édition est précisément identifiée, des textes administratifs sur l’application de la loi et des sources africaines permettant d’observer les pratiques. Le corpus secondaire réunira les travaux historiques utilisés pour contextualiser les documents. La date de collecte, les critères d’inclusion et les absences documentaires seront publiés.</w:t>
      </w:r>
    </w:p>
    <w:p>
      <w:pPr>
        <w:widowControl/>
      </w:pPr>
      <w:r>
        <w:t>Le choix du corpus ne doit pas être guidé seulement par la disponibilité numérique. Les fonds facilement accessibles peuvent surreprésenter l’administration coloniale ou les acteurs déjà publiés. Une fiche de biais indiquera pour chaque sous-corpus la langue, l’institution productrice, la zone géographique, la période, le genre documentaire et les groupes peu ou pas représentés.</w:t>
      </w:r>
    </w:p>
    <w:p>
      <w:pPr>
        <w:pStyle w:val="Heading2"/>
        <w:widowControl/>
      </w:pPr>
      <w:r>
        <w:t>Pipeline analytique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16"/>
        <w:gridCol w:w="3216"/>
        <w:gridCol w:w="3216"/>
      </w:tblGrid>
      <w:tr>
        <w:tc>
          <w:tcPr>
            <w:tcW w:type="dxa" w:w="1080"/>
            <w:shd w:fill="26374A"/>
            <w:vAlign w:val="center"/>
            <w:tcMar>
              <w:top w:w="100" w:type="dxa"/>
              <w:start w:w="110" w:type="dxa"/>
              <w:bottom w:w="100" w:type="dxa"/>
              <w:end w:w="110" w:type="dxa"/>
            </w:tcMar>
          </w:tcPr>
          <w:p>
            <w:pPr>
              <w:jc w:val="center"/>
            </w:pPr>
            <w:r>
              <w:rPr>
                <w:b/>
                <w:color w:val="FFFFFF"/>
                <w:sz w:val="18"/>
              </w:rPr>
              <w:t>Étape</w:t>
            </w:r>
          </w:p>
        </w:tc>
        <w:tc>
          <w:tcPr>
            <w:tcW w:type="dxa" w:w="4608"/>
            <w:shd w:fill="26374A"/>
            <w:vAlign w:val="center"/>
            <w:tcMar>
              <w:top w:w="100" w:type="dxa"/>
              <w:start w:w="110" w:type="dxa"/>
              <w:bottom w:w="100" w:type="dxa"/>
              <w:end w:w="110" w:type="dxa"/>
            </w:tcMar>
          </w:tcPr>
          <w:p>
            <w:pPr>
              <w:jc w:val="center"/>
            </w:pPr>
            <w:r>
              <w:rPr>
                <w:b/>
                <w:color w:val="FFFFFF"/>
                <w:sz w:val="18"/>
              </w:rPr>
              <w:t>Opération</w:t>
            </w:r>
          </w:p>
        </w:tc>
        <w:tc>
          <w:tcPr>
            <w:tcW w:type="dxa" w:w="4536"/>
            <w:shd w:fill="26374A"/>
            <w:vAlign w:val="center"/>
            <w:tcMar>
              <w:top w:w="100" w:type="dxa"/>
              <w:start w:w="110" w:type="dxa"/>
              <w:bottom w:w="100" w:type="dxa"/>
              <w:end w:w="110" w:type="dxa"/>
            </w:tcMar>
          </w:tcPr>
          <w:p>
            <w:pPr>
              <w:jc w:val="center"/>
            </w:pPr>
            <w:r>
              <w:rPr>
                <w:b/>
                <w:color w:val="FFFFFF"/>
                <w:sz w:val="18"/>
              </w:rPr>
              <w:t>Contrôle</w:t>
            </w:r>
          </w:p>
        </w:tc>
      </w:tr>
      <w:tr>
        <w:tc>
          <w:tcPr>
            <w:tcW w:type="dxa" w:w="1080"/>
            <w:vAlign w:val="center"/>
            <w:tcMar>
              <w:top w:w="100" w:type="dxa"/>
              <w:start w:w="110" w:type="dxa"/>
              <w:bottom w:w="100" w:type="dxa"/>
              <w:end w:w="110" w:type="dxa"/>
            </w:tcMar>
          </w:tcPr>
          <w:p>
            <w:pPr>
              <w:jc w:val="left"/>
            </w:pPr>
            <w:r>
              <w:rPr>
                <w:sz w:val="17"/>
              </w:rPr>
              <w:t>Ingestion</w:t>
            </w:r>
          </w:p>
        </w:tc>
        <w:tc>
          <w:tcPr>
            <w:tcW w:type="dxa" w:w="4608"/>
            <w:vAlign w:val="center"/>
            <w:tcMar>
              <w:top w:w="100" w:type="dxa"/>
              <w:start w:w="110" w:type="dxa"/>
              <w:bottom w:w="100" w:type="dxa"/>
              <w:end w:w="110" w:type="dxa"/>
            </w:tcMar>
          </w:tcPr>
          <w:p>
            <w:pPr>
              <w:jc w:val="left"/>
            </w:pPr>
            <w:r>
              <w:rPr>
                <w:sz w:val="17"/>
              </w:rPr>
              <w:t>Importer et identifier les documents</w:t>
            </w:r>
          </w:p>
        </w:tc>
        <w:tc>
          <w:tcPr>
            <w:tcW w:type="dxa" w:w="4536"/>
            <w:vAlign w:val="center"/>
            <w:tcMar>
              <w:top w:w="100" w:type="dxa"/>
              <w:start w:w="110" w:type="dxa"/>
              <w:bottom w:w="100" w:type="dxa"/>
              <w:end w:w="110" w:type="dxa"/>
            </w:tcMar>
          </w:tcPr>
          <w:p>
            <w:pPr>
              <w:jc w:val="left"/>
            </w:pPr>
            <w:r>
              <w:rPr>
                <w:sz w:val="17"/>
              </w:rPr>
              <w:t>Empreinte, version, droits, métadonnées</w:t>
            </w:r>
          </w:p>
        </w:tc>
      </w:tr>
      <w:tr>
        <w:tc>
          <w:tcPr>
            <w:tcW w:type="dxa" w:w="1080"/>
            <w:vAlign w:val="center"/>
            <w:tcMar>
              <w:top w:w="100" w:type="dxa"/>
              <w:start w:w="110" w:type="dxa"/>
              <w:bottom w:w="100" w:type="dxa"/>
              <w:end w:w="110" w:type="dxa"/>
            </w:tcMar>
            <w:shd w:fill="F2F5F8"/>
          </w:tcPr>
          <w:p>
            <w:pPr>
              <w:jc w:val="left"/>
            </w:pPr>
            <w:r>
              <w:rPr>
                <w:sz w:val="17"/>
              </w:rPr>
              <w:t>Segmentation</w:t>
            </w:r>
          </w:p>
        </w:tc>
        <w:tc>
          <w:tcPr>
            <w:tcW w:type="dxa" w:w="4608"/>
            <w:vAlign w:val="center"/>
            <w:tcMar>
              <w:top w:w="100" w:type="dxa"/>
              <w:start w:w="110" w:type="dxa"/>
              <w:bottom w:w="100" w:type="dxa"/>
              <w:end w:w="110" w:type="dxa"/>
            </w:tcMar>
            <w:shd w:fill="F2F5F8"/>
          </w:tcPr>
          <w:p>
            <w:pPr>
              <w:jc w:val="left"/>
            </w:pPr>
            <w:r>
              <w:rPr>
                <w:sz w:val="17"/>
              </w:rPr>
              <w:t>Délimiter les unités citables</w:t>
            </w:r>
          </w:p>
        </w:tc>
        <w:tc>
          <w:tcPr>
            <w:tcW w:type="dxa" w:w="4536"/>
            <w:vAlign w:val="center"/>
            <w:tcMar>
              <w:top w:w="100" w:type="dxa"/>
              <w:start w:w="110" w:type="dxa"/>
              <w:bottom w:w="100" w:type="dxa"/>
              <w:end w:w="110" w:type="dxa"/>
            </w:tcMar>
            <w:shd w:fill="F2F5F8"/>
          </w:tcPr>
          <w:p>
            <w:pPr>
              <w:jc w:val="left"/>
            </w:pPr>
            <w:r>
              <w:rPr>
                <w:sz w:val="17"/>
              </w:rPr>
              <w:t>Page, paragraphe, ligne ou image</w:t>
            </w:r>
          </w:p>
        </w:tc>
      </w:tr>
      <w:tr>
        <w:tc>
          <w:tcPr>
            <w:tcW w:type="dxa" w:w="1080"/>
            <w:vAlign w:val="center"/>
            <w:tcMar>
              <w:top w:w="100" w:type="dxa"/>
              <w:start w:w="110" w:type="dxa"/>
              <w:bottom w:w="100" w:type="dxa"/>
              <w:end w:w="110" w:type="dxa"/>
            </w:tcMar>
          </w:tcPr>
          <w:p>
            <w:pPr>
              <w:jc w:val="left"/>
            </w:pPr>
            <w:r>
              <w:rPr>
                <w:sz w:val="17"/>
              </w:rPr>
              <w:t>Extraction</w:t>
            </w:r>
          </w:p>
        </w:tc>
        <w:tc>
          <w:tcPr>
            <w:tcW w:type="dxa" w:w="4608"/>
            <w:vAlign w:val="center"/>
            <w:tcMar>
              <w:top w:w="100" w:type="dxa"/>
              <w:start w:w="110" w:type="dxa"/>
              <w:bottom w:w="100" w:type="dxa"/>
              <w:end w:w="110" w:type="dxa"/>
            </w:tcMar>
          </w:tcPr>
          <w:p>
            <w:pPr>
              <w:jc w:val="left"/>
            </w:pPr>
            <w:r>
              <w:rPr>
                <w:sz w:val="17"/>
              </w:rPr>
              <w:t>Repérer acteurs, dates, lieux, pratiques et normes</w:t>
            </w:r>
          </w:p>
        </w:tc>
        <w:tc>
          <w:tcPr>
            <w:tcW w:type="dxa" w:w="4536"/>
            <w:vAlign w:val="center"/>
            <w:tcMar>
              <w:top w:w="100" w:type="dxa"/>
              <w:start w:w="110" w:type="dxa"/>
              <w:bottom w:w="100" w:type="dxa"/>
              <w:end w:w="110" w:type="dxa"/>
            </w:tcMar>
          </w:tcPr>
          <w:p>
            <w:pPr>
              <w:jc w:val="left"/>
            </w:pPr>
            <w:r>
              <w:rPr>
                <w:sz w:val="17"/>
              </w:rPr>
              <w:t>Retour systématique au segment source</w:t>
            </w:r>
          </w:p>
        </w:tc>
      </w:tr>
      <w:tr>
        <w:tc>
          <w:tcPr>
            <w:tcW w:type="dxa" w:w="1080"/>
            <w:vAlign w:val="center"/>
            <w:tcMar>
              <w:top w:w="100" w:type="dxa"/>
              <w:start w:w="110" w:type="dxa"/>
              <w:bottom w:w="100" w:type="dxa"/>
              <w:end w:w="110" w:type="dxa"/>
            </w:tcMar>
            <w:shd w:fill="F2F5F8"/>
          </w:tcPr>
          <w:p>
            <w:pPr>
              <w:jc w:val="left"/>
            </w:pPr>
            <w:r>
              <w:rPr>
                <w:sz w:val="17"/>
              </w:rPr>
              <w:t>Relation</w:t>
            </w:r>
          </w:p>
        </w:tc>
        <w:tc>
          <w:tcPr>
            <w:tcW w:type="dxa" w:w="4608"/>
            <w:vAlign w:val="center"/>
            <w:tcMar>
              <w:top w:w="100" w:type="dxa"/>
              <w:start w:w="110" w:type="dxa"/>
              <w:bottom w:w="100" w:type="dxa"/>
              <w:end w:w="110" w:type="dxa"/>
            </w:tcMar>
            <w:shd w:fill="F2F5F8"/>
          </w:tcPr>
          <w:p>
            <w:pPr>
              <w:jc w:val="left"/>
            </w:pPr>
            <w:r>
              <w:rPr>
                <w:sz w:val="17"/>
              </w:rPr>
              <w:t>Proposer des liens temporels, causaux ou institutionnels</w:t>
            </w:r>
          </w:p>
        </w:tc>
        <w:tc>
          <w:tcPr>
            <w:tcW w:type="dxa" w:w="4536"/>
            <w:vAlign w:val="center"/>
            <w:tcMar>
              <w:top w:w="100" w:type="dxa"/>
              <w:start w:w="110" w:type="dxa"/>
              <w:bottom w:w="100" w:type="dxa"/>
              <w:end w:w="110" w:type="dxa"/>
            </w:tcMar>
            <w:shd w:fill="F2F5F8"/>
          </w:tcPr>
          <w:p>
            <w:pPr>
              <w:jc w:val="left"/>
            </w:pPr>
            <w:r>
              <w:rPr>
                <w:sz w:val="17"/>
              </w:rPr>
              <w:t>Type de lien et justification séparés</w:t>
            </w:r>
          </w:p>
        </w:tc>
      </w:tr>
      <w:tr>
        <w:tc>
          <w:tcPr>
            <w:tcW w:type="dxa" w:w="1080"/>
            <w:vAlign w:val="center"/>
            <w:tcMar>
              <w:top w:w="100" w:type="dxa"/>
              <w:start w:w="110" w:type="dxa"/>
              <w:bottom w:w="100" w:type="dxa"/>
              <w:end w:w="110" w:type="dxa"/>
            </w:tcMar>
          </w:tcPr>
          <w:p>
            <w:pPr>
              <w:jc w:val="left"/>
            </w:pPr>
            <w:r>
              <w:rPr>
                <w:sz w:val="17"/>
              </w:rPr>
              <w:t>Candidature</w:t>
            </w:r>
          </w:p>
        </w:tc>
        <w:tc>
          <w:tcPr>
            <w:tcW w:type="dxa" w:w="4608"/>
            <w:vAlign w:val="center"/>
            <w:tcMar>
              <w:top w:w="100" w:type="dxa"/>
              <w:start w:w="110" w:type="dxa"/>
              <w:bottom w:w="100" w:type="dxa"/>
              <w:end w:w="110" w:type="dxa"/>
            </w:tcMar>
          </w:tcPr>
          <w:p>
            <w:pPr>
              <w:jc w:val="left"/>
            </w:pPr>
            <w:r>
              <w:rPr>
                <w:sz w:val="17"/>
              </w:rPr>
              <w:t>Construire formes et structures concurrentes</w:t>
            </w:r>
          </w:p>
        </w:tc>
        <w:tc>
          <w:tcPr>
            <w:tcW w:type="dxa" w:w="4536"/>
            <w:vAlign w:val="center"/>
            <w:tcMar>
              <w:top w:w="100" w:type="dxa"/>
              <w:start w:w="110" w:type="dxa"/>
              <w:bottom w:w="100" w:type="dxa"/>
              <w:end w:w="110" w:type="dxa"/>
            </w:tcMar>
          </w:tcPr>
          <w:p>
            <w:pPr>
              <w:jc w:val="left"/>
            </w:pPr>
            <w:r>
              <w:rPr>
                <w:sz w:val="17"/>
              </w:rPr>
              <w:t>Aucune candidature unique par défaut</w:t>
            </w:r>
          </w:p>
        </w:tc>
      </w:tr>
      <w:tr>
        <w:tc>
          <w:tcPr>
            <w:tcW w:type="dxa" w:w="1080"/>
            <w:vAlign w:val="center"/>
            <w:tcMar>
              <w:top w:w="100" w:type="dxa"/>
              <w:start w:w="110" w:type="dxa"/>
              <w:bottom w:w="100" w:type="dxa"/>
              <w:end w:w="110" w:type="dxa"/>
            </w:tcMar>
            <w:shd w:fill="F2F5F8"/>
          </w:tcPr>
          <w:p>
            <w:pPr>
              <w:jc w:val="left"/>
            </w:pPr>
            <w:r>
              <w:rPr>
                <w:sz w:val="17"/>
              </w:rPr>
              <w:t>Critique</w:t>
            </w:r>
          </w:p>
        </w:tc>
        <w:tc>
          <w:tcPr>
            <w:tcW w:type="dxa" w:w="4608"/>
            <w:vAlign w:val="center"/>
            <w:tcMar>
              <w:top w:w="100" w:type="dxa"/>
              <w:start w:w="110" w:type="dxa"/>
              <w:bottom w:w="100" w:type="dxa"/>
              <w:end w:w="110" w:type="dxa"/>
            </w:tcMar>
            <w:shd w:fill="F2F5F8"/>
          </w:tcPr>
          <w:p>
            <w:pPr>
              <w:jc w:val="left"/>
            </w:pPr>
            <w:r>
              <w:rPr>
                <w:sz w:val="17"/>
              </w:rPr>
              <w:t>Chercher contradictions et absences</w:t>
            </w:r>
          </w:p>
        </w:tc>
        <w:tc>
          <w:tcPr>
            <w:tcW w:type="dxa" w:w="4536"/>
            <w:vAlign w:val="center"/>
            <w:tcMar>
              <w:top w:w="100" w:type="dxa"/>
              <w:start w:w="110" w:type="dxa"/>
              <w:bottom w:w="100" w:type="dxa"/>
              <w:end w:w="110" w:type="dxa"/>
            </w:tcMar>
            <w:shd w:fill="F2F5F8"/>
          </w:tcPr>
          <w:p>
            <w:pPr>
              <w:jc w:val="left"/>
            </w:pPr>
            <w:r>
              <w:rPr>
                <w:sz w:val="17"/>
              </w:rPr>
              <w:t>Test adversarial et double annotation</w:t>
            </w:r>
          </w:p>
        </w:tc>
      </w:tr>
      <w:tr>
        <w:tc>
          <w:tcPr>
            <w:tcW w:type="dxa" w:w="1080"/>
            <w:vAlign w:val="center"/>
            <w:tcMar>
              <w:top w:w="100" w:type="dxa"/>
              <w:start w:w="110" w:type="dxa"/>
              <w:bottom w:w="100" w:type="dxa"/>
              <w:end w:w="110" w:type="dxa"/>
            </w:tcMar>
          </w:tcPr>
          <w:p>
            <w:pPr>
              <w:jc w:val="left"/>
            </w:pPr>
            <w:r>
              <w:rPr>
                <w:sz w:val="17"/>
              </w:rPr>
              <w:t>Validation</w:t>
            </w:r>
          </w:p>
        </w:tc>
        <w:tc>
          <w:tcPr>
            <w:tcW w:type="dxa" w:w="4608"/>
            <w:vAlign w:val="center"/>
            <w:tcMar>
              <w:top w:w="100" w:type="dxa"/>
              <w:start w:w="110" w:type="dxa"/>
              <w:bottom w:w="100" w:type="dxa"/>
              <w:end w:w="110" w:type="dxa"/>
            </w:tcMar>
          </w:tcPr>
          <w:p>
            <w:pPr>
              <w:jc w:val="left"/>
            </w:pPr>
            <w:r>
              <w:rPr>
                <w:sz w:val="17"/>
              </w:rPr>
              <w:t>Accepter, borner ou rejeter</w:t>
            </w:r>
          </w:p>
        </w:tc>
        <w:tc>
          <w:tcPr>
            <w:tcW w:type="dxa" w:w="4536"/>
            <w:vAlign w:val="center"/>
            <w:tcMar>
              <w:top w:w="100" w:type="dxa"/>
              <w:start w:w="110" w:type="dxa"/>
              <w:bottom w:w="100" w:type="dxa"/>
              <w:end w:w="110" w:type="dxa"/>
            </w:tcMar>
          </w:tcPr>
          <w:p>
            <w:pPr>
              <w:jc w:val="left"/>
            </w:pPr>
            <w:r>
              <w:rPr>
                <w:sz w:val="17"/>
              </w:rPr>
              <w:t>Décision humaine motivée</w:t>
            </w:r>
          </w:p>
        </w:tc>
      </w:tr>
      <w:tr>
        <w:tc>
          <w:tcPr>
            <w:tcW w:type="dxa" w:w="1080"/>
            <w:vAlign w:val="center"/>
            <w:tcMar>
              <w:top w:w="100" w:type="dxa"/>
              <w:start w:w="110" w:type="dxa"/>
              <w:bottom w:w="100" w:type="dxa"/>
              <w:end w:w="110" w:type="dxa"/>
            </w:tcMar>
            <w:shd w:fill="F2F5F8"/>
          </w:tcPr>
          <w:p>
            <w:pPr>
              <w:jc w:val="left"/>
            </w:pPr>
            <w:r>
              <w:rPr>
                <w:sz w:val="17"/>
              </w:rPr>
              <w:t>Publication</w:t>
            </w:r>
          </w:p>
        </w:tc>
        <w:tc>
          <w:tcPr>
            <w:tcW w:type="dxa" w:w="4608"/>
            <w:vAlign w:val="center"/>
            <w:tcMar>
              <w:top w:w="100" w:type="dxa"/>
              <w:start w:w="110" w:type="dxa"/>
              <w:bottom w:w="100" w:type="dxa"/>
              <w:end w:w="110" w:type="dxa"/>
            </w:tcMar>
            <w:shd w:fill="F2F5F8"/>
          </w:tcPr>
          <w:p>
            <w:pPr>
              <w:jc w:val="left"/>
            </w:pPr>
            <w:r>
              <w:rPr>
                <w:sz w:val="17"/>
              </w:rPr>
              <w:t>Exporter article, données et journal</w:t>
            </w:r>
          </w:p>
        </w:tc>
        <w:tc>
          <w:tcPr>
            <w:tcW w:type="dxa" w:w="4536"/>
            <w:vAlign w:val="center"/>
            <w:tcMar>
              <w:top w:w="100" w:type="dxa"/>
              <w:start w:w="110" w:type="dxa"/>
              <w:bottom w:w="100" w:type="dxa"/>
              <w:end w:w="110" w:type="dxa"/>
            </w:tcMar>
            <w:shd w:fill="F2F5F8"/>
          </w:tcPr>
          <w:p>
            <w:pPr>
              <w:jc w:val="left"/>
            </w:pPr>
            <w:r>
              <w:rPr>
                <w:sz w:val="17"/>
              </w:rPr>
              <w:t>Versions, paramètres et licences</w:t>
            </w:r>
          </w:p>
        </w:tc>
      </w:tr>
    </w:tbl>
    <w:p>
      <w:pPr>
        <w:spacing w:after="20"/>
        <w:widowControl/>
      </w:pPr>
    </w:p>
    <w:p>
      <w:pPr>
        <w:pStyle w:val="Heading2"/>
        <w:widowControl/>
      </w:pPr>
      <w:r>
        <w:t>Règles de prudence</w:t>
      </w:r>
    </w:p>
    <w:p>
      <w:pPr>
        <w:widowControl/>
      </w:pPr>
      <w:r>
        <w:t>Trois règles encadrent l’inférence. Premièrement, la proximité temporelle n’établit pas une causalité. Deuxièmement, le partage d’un vocabulaire n’établit pas l’identité d’une pratique. Troisièmement, l’absence d’une mention dans un corpus incomplet n’est pas une preuve d’absence historique. Le système doit donc produire des formulations graduées : documente, suggère, est compatible avec, contredit ou ne permet pas de conclure.</w:t>
      </w:r>
    </w:p>
    <w:p>
      <w:pPr>
        <w:widowControl/>
      </w:pPr>
      <w:r>
        <w:t>Une relation de survivance est recevable seulement si elle indique ce qui persiste, par quel support, pendant quelle période et avec quelles transformations. Le chercheur doit pouvoir comparer cette hypothèse à au moins une explication concurrente, par exemple la réapparition indépendante d’une pratique sous l’effet de contraintes économiques différentes.</w:t>
      </w:r>
    </w:p>
    <w:p>
      <w:pPr>
        <w:pStyle w:val="Heading1"/>
        <w:widowControl/>
      </w:pPr>
      <w:r>
        <w:t>Étude de cas proposée</w:t>
      </w:r>
    </w:p>
    <w:p>
      <w:pPr>
        <w:pStyle w:val="Heading2"/>
        <w:widowControl/>
      </w:pPr>
      <w:r>
        <w:t>Événement juridique de 1946</w:t>
      </w:r>
    </w:p>
    <w:p>
      <w:pPr>
        <w:widowControl/>
      </w:pPr>
      <w:r>
        <w:t>La loi no 46-645 du 11 avril 1946 constitue un point d’ancrage documenté. Son article premier interdit le travail forcé ou obligatoire dans les territoires d’outre-mer relevant du ministère de la France d’outre-mer. Dans SESH_Histoire, la promulgation de la loi est enregistrée comme événement juridique attesté. L’interprétation de ses effets exige d’autres sources. Le système ne doit pas déduire de l’interdiction normative une disparition immédiate des pratiques.</w:t>
      </w:r>
    </w:p>
    <w:p>
      <w:pPr>
        <w:widowControl/>
      </w:pPr>
      <w:r>
        <w:t>Le cas est scientifiquement fécond parce qu’il permet de séparer plusieurs questions : la genèse politique de la loi, son contenu, sa réception, ses modalités d’application, les résistances administratives, les transformations du travail contraint et les usages mémoriels de l’abolition. Ces questions correspondent à des graphes liés mais distincts.</w:t>
      </w:r>
    </w:p>
    <w:p>
      <w:pPr>
        <w:pStyle w:val="Heading2"/>
        <w:widowControl/>
      </w:pPr>
      <w:r>
        <w:t>Hypothèses concurrentes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16"/>
        <w:gridCol w:w="3216"/>
        <w:gridCol w:w="3216"/>
      </w:tblGrid>
      <w:tr>
        <w:tc>
          <w:tcPr>
            <w:tcW w:type="dxa" w:w="2592"/>
            <w:shd w:fill="26374A"/>
            <w:vAlign w:val="center"/>
            <w:tcMar>
              <w:top w:w="100" w:type="dxa"/>
              <w:start w:w="110" w:type="dxa"/>
              <w:bottom w:w="100" w:type="dxa"/>
              <w:end w:w="110" w:type="dxa"/>
            </w:tcMar>
          </w:tcPr>
          <w:p>
            <w:pPr>
              <w:jc w:val="center"/>
            </w:pPr>
            <w:r>
              <w:rPr>
                <w:b/>
                <w:color w:val="FFFFFF"/>
                <w:sz w:val="18"/>
              </w:rPr>
              <w:t>Hypothèse</w:t>
            </w:r>
          </w:p>
        </w:tc>
        <w:tc>
          <w:tcPr>
            <w:tcW w:type="dxa" w:w="5040"/>
            <w:shd w:fill="26374A"/>
            <w:vAlign w:val="center"/>
            <w:tcMar>
              <w:top w:w="100" w:type="dxa"/>
              <w:start w:w="110" w:type="dxa"/>
              <w:bottom w:w="100" w:type="dxa"/>
              <w:end w:w="110" w:type="dxa"/>
            </w:tcMar>
          </w:tcPr>
          <w:p>
            <w:pPr>
              <w:jc w:val="center"/>
            </w:pPr>
            <w:r>
              <w:rPr>
                <w:b/>
                <w:color w:val="FFFFFF"/>
                <w:sz w:val="18"/>
              </w:rPr>
              <w:t>Indices nécessaires</w:t>
            </w:r>
          </w:p>
        </w:tc>
        <w:tc>
          <w:tcPr>
            <w:tcW w:type="dxa" w:w="2592"/>
            <w:shd w:fill="26374A"/>
            <w:vAlign w:val="center"/>
            <w:tcMar>
              <w:top w:w="100" w:type="dxa"/>
              <w:start w:w="110" w:type="dxa"/>
              <w:bottom w:w="100" w:type="dxa"/>
              <w:end w:w="110" w:type="dxa"/>
            </w:tcMar>
          </w:tcPr>
          <w:p>
            <w:pPr>
              <w:jc w:val="center"/>
            </w:pPr>
            <w:r>
              <w:rPr>
                <w:b/>
                <w:color w:val="FFFFFF"/>
                <w:sz w:val="18"/>
              </w:rPr>
              <w:t>Risque d erreur</w:t>
            </w:r>
          </w:p>
        </w:tc>
      </w:tr>
      <w:tr>
        <w:tc>
          <w:tcPr>
            <w:tcW w:type="dxa" w:w="2592"/>
            <w:vAlign w:val="center"/>
            <w:tcMar>
              <w:top w:w="100" w:type="dxa"/>
              <w:start w:w="110" w:type="dxa"/>
              <w:bottom w:w="100" w:type="dxa"/>
              <w:end w:w="110" w:type="dxa"/>
            </w:tcMar>
          </w:tcPr>
          <w:p>
            <w:pPr>
              <w:jc w:val="left"/>
            </w:pPr>
            <w:r>
              <w:rPr>
                <w:sz w:val="17"/>
              </w:rPr>
              <w:t>Rupture juridique effective</w:t>
            </w:r>
          </w:p>
        </w:tc>
        <w:tc>
          <w:tcPr>
            <w:tcW w:type="dxa" w:w="5040"/>
            <w:vAlign w:val="center"/>
            <w:tcMar>
              <w:top w:w="100" w:type="dxa"/>
              <w:start w:w="110" w:type="dxa"/>
              <w:bottom w:w="100" w:type="dxa"/>
              <w:end w:w="110" w:type="dxa"/>
            </w:tcMar>
          </w:tcPr>
          <w:p>
            <w:pPr>
              <w:jc w:val="left"/>
            </w:pPr>
            <w:r>
              <w:rPr>
                <w:sz w:val="17"/>
              </w:rPr>
              <w:t>Textes d’application, pratiques administratives, témoignages concordants</w:t>
            </w:r>
          </w:p>
        </w:tc>
        <w:tc>
          <w:tcPr>
            <w:tcW w:type="dxa" w:w="2592"/>
            <w:vAlign w:val="center"/>
            <w:tcMar>
              <w:top w:w="100" w:type="dxa"/>
              <w:start w:w="110" w:type="dxa"/>
              <w:bottom w:w="100" w:type="dxa"/>
              <w:end w:w="110" w:type="dxa"/>
            </w:tcMar>
          </w:tcPr>
          <w:p>
            <w:pPr>
              <w:jc w:val="left"/>
            </w:pPr>
            <w:r>
              <w:rPr>
                <w:sz w:val="17"/>
              </w:rPr>
              <w:t>Confondre norme et réalité</w:t>
            </w:r>
          </w:p>
        </w:tc>
      </w:tr>
      <w:tr>
        <w:tc>
          <w:tcPr>
            <w:tcW w:type="dxa" w:w="2592"/>
            <w:vAlign w:val="center"/>
            <w:tcMar>
              <w:top w:w="100" w:type="dxa"/>
              <w:start w:w="110" w:type="dxa"/>
              <w:bottom w:w="100" w:type="dxa"/>
              <w:end w:w="110" w:type="dxa"/>
            </w:tcMar>
            <w:shd w:fill="F2F5F8"/>
          </w:tcPr>
          <w:p>
            <w:pPr>
              <w:jc w:val="left"/>
            </w:pPr>
            <w:r>
              <w:rPr>
                <w:sz w:val="17"/>
              </w:rPr>
              <w:t>Rupture juridique partielle</w:t>
            </w:r>
          </w:p>
        </w:tc>
        <w:tc>
          <w:tcPr>
            <w:tcW w:type="dxa" w:w="5040"/>
            <w:vAlign w:val="center"/>
            <w:tcMar>
              <w:top w:w="100" w:type="dxa"/>
              <w:start w:w="110" w:type="dxa"/>
              <w:bottom w:w="100" w:type="dxa"/>
              <w:end w:w="110" w:type="dxa"/>
            </w:tcMar>
            <w:shd w:fill="F2F5F8"/>
          </w:tcPr>
          <w:p>
            <w:pPr>
              <w:jc w:val="left"/>
            </w:pPr>
            <w:r>
              <w:rPr>
                <w:sz w:val="17"/>
              </w:rPr>
              <w:t>Écarts documentés selon territoires, secteurs et périodes</w:t>
            </w:r>
          </w:p>
        </w:tc>
        <w:tc>
          <w:tcPr>
            <w:tcW w:type="dxa" w:w="2592"/>
            <w:vAlign w:val="center"/>
            <w:tcMar>
              <w:top w:w="100" w:type="dxa"/>
              <w:start w:w="110" w:type="dxa"/>
              <w:bottom w:w="100" w:type="dxa"/>
              <w:end w:w="110" w:type="dxa"/>
            </w:tcMar>
            <w:shd w:fill="F2F5F8"/>
          </w:tcPr>
          <w:p>
            <w:pPr>
              <w:jc w:val="left"/>
            </w:pPr>
            <w:r>
              <w:rPr>
                <w:sz w:val="17"/>
              </w:rPr>
              <w:t>Généraliser un cas local</w:t>
            </w:r>
          </w:p>
        </w:tc>
      </w:tr>
      <w:tr>
        <w:tc>
          <w:tcPr>
            <w:tcW w:type="dxa" w:w="2592"/>
            <w:vAlign w:val="center"/>
            <w:tcMar>
              <w:top w:w="100" w:type="dxa"/>
              <w:start w:w="110" w:type="dxa"/>
              <w:bottom w:w="100" w:type="dxa"/>
              <w:end w:w="110" w:type="dxa"/>
            </w:tcMar>
          </w:tcPr>
          <w:p>
            <w:pPr>
              <w:jc w:val="left"/>
            </w:pPr>
            <w:r>
              <w:rPr>
                <w:sz w:val="17"/>
              </w:rPr>
              <w:t>Survivance transformée</w:t>
            </w:r>
          </w:p>
        </w:tc>
        <w:tc>
          <w:tcPr>
            <w:tcW w:type="dxa" w:w="5040"/>
            <w:vAlign w:val="center"/>
            <w:tcMar>
              <w:top w:w="100" w:type="dxa"/>
              <w:start w:w="110" w:type="dxa"/>
              <w:bottom w:w="100" w:type="dxa"/>
              <w:end w:w="110" w:type="dxa"/>
            </w:tcMar>
          </w:tcPr>
          <w:p>
            <w:pPr>
              <w:jc w:val="left"/>
            </w:pPr>
            <w:r>
              <w:rPr>
                <w:sz w:val="17"/>
              </w:rPr>
              <w:t>Mécanisme de transmission et continuité observable</w:t>
            </w:r>
          </w:p>
        </w:tc>
        <w:tc>
          <w:tcPr>
            <w:tcW w:type="dxa" w:w="2592"/>
            <w:vAlign w:val="center"/>
            <w:tcMar>
              <w:top w:w="100" w:type="dxa"/>
              <w:start w:w="110" w:type="dxa"/>
              <w:bottom w:w="100" w:type="dxa"/>
              <w:end w:w="110" w:type="dxa"/>
            </w:tcMar>
          </w:tcPr>
          <w:p>
            <w:pPr>
              <w:jc w:val="left"/>
            </w:pPr>
            <w:r>
              <w:rPr>
                <w:sz w:val="17"/>
              </w:rPr>
              <w:t>Assimiler toute contrainte au travail forcé colonial</w:t>
            </w:r>
          </w:p>
        </w:tc>
      </w:tr>
      <w:tr>
        <w:tc>
          <w:tcPr>
            <w:tcW w:type="dxa" w:w="2592"/>
            <w:vAlign w:val="center"/>
            <w:tcMar>
              <w:top w:w="100" w:type="dxa"/>
              <w:start w:w="110" w:type="dxa"/>
              <w:bottom w:w="100" w:type="dxa"/>
              <w:end w:w="110" w:type="dxa"/>
            </w:tcMar>
            <w:shd w:fill="F2F5F8"/>
          </w:tcPr>
          <w:p>
            <w:pPr>
              <w:jc w:val="left"/>
            </w:pPr>
            <w:r>
              <w:rPr>
                <w:sz w:val="17"/>
              </w:rPr>
              <w:t>Réapparition indépendante</w:t>
            </w:r>
          </w:p>
        </w:tc>
        <w:tc>
          <w:tcPr>
            <w:tcW w:type="dxa" w:w="5040"/>
            <w:vAlign w:val="center"/>
            <w:tcMar>
              <w:top w:w="100" w:type="dxa"/>
              <w:start w:w="110" w:type="dxa"/>
              <w:bottom w:w="100" w:type="dxa"/>
              <w:end w:w="110" w:type="dxa"/>
            </w:tcMar>
            <w:shd w:fill="F2F5F8"/>
          </w:tcPr>
          <w:p>
            <w:pPr>
              <w:jc w:val="left"/>
            </w:pPr>
            <w:r>
              <w:rPr>
                <w:sz w:val="17"/>
              </w:rPr>
              <w:t>Contraintes nouvelles sans filiation démontrée</w:t>
            </w:r>
          </w:p>
        </w:tc>
        <w:tc>
          <w:tcPr>
            <w:tcW w:type="dxa" w:w="2592"/>
            <w:vAlign w:val="center"/>
            <w:tcMar>
              <w:top w:w="100" w:type="dxa"/>
              <w:start w:w="110" w:type="dxa"/>
              <w:bottom w:w="100" w:type="dxa"/>
              <w:end w:w="110" w:type="dxa"/>
            </w:tcMar>
            <w:shd w:fill="F2F5F8"/>
          </w:tcPr>
          <w:p>
            <w:pPr>
              <w:jc w:val="left"/>
            </w:pPr>
            <w:r>
              <w:rPr>
                <w:sz w:val="17"/>
              </w:rPr>
              <w:t>Négliger les héritages institutionnels</w:t>
            </w:r>
          </w:p>
        </w:tc>
      </w:tr>
    </w:tbl>
    <w:p>
      <w:pPr>
        <w:spacing w:after="20"/>
        <w:widowControl/>
      </w:pPr>
    </w:p>
    <w:p>
      <w:pPr>
        <w:pStyle w:val="Heading2"/>
        <w:widowControl/>
      </w:pPr>
      <w:r>
        <w:t>Exemple de reconstruction</w:t>
      </w:r>
    </w:p>
    <w:p>
      <w:pPr>
        <w:widowControl/>
      </w:pPr>
      <w:r>
        <w:t>Une démonstration minimale peut relier cinq objets : le texte légal, une instruction administrative, un rapport local, un témoignage et une étude secondaire. Une première structure candidate affirme une rupture immédiate. Une seconde affirme une rupture normative suivie d’applications différenciées. Une troisième propose la survivance d’un rapport coercitif sous une autre désignation. SESH_Histoire compare la couverture documentaire, les contradictions et les chaînons manquants. Il ne choisit pas automatiquement la meilleure explication ; il fournit au chercheur un dossier de décision.</w:t>
      </w:r>
    </w:p>
    <w:p>
      <w:pPr>
        <w:widowControl/>
      </w:pPr>
      <w:r>
        <w:t>Cette procédure rend visible la contemporanéité de plusieurs temporalités. En 1946, le temps juridique de l’interdiction peut coexister avec le temps administratif de la transition, le temps social de pratiques héritées et le temps mémoriel par lequel les acteurs interprètent l’événement. La coexistence de ces temporalités devient une hypothèse structurée plutôt qu’une formule générale.</w:t>
      </w:r>
    </w:p>
    <w:p>
      <w:pPr>
        <w:pStyle w:val="Heading1"/>
        <w:widowControl/>
      </w:pPr>
      <w:r>
        <w:t>Évaluation du système</w:t>
      </w:r>
    </w:p>
    <w:p>
      <w:pPr>
        <w:widowControl/>
      </w:pPr>
      <w:r>
        <w:t>L’évaluation doit porter sur le système et sur les interprétations produites. Un premier jeu de référence sera annoté indépendamment par au moins deux chercheurs. Ils identifieront les expressions, les relations et leur statut. Les désaccords seront conservés avant arbitrage afin de mesurer la part interprétative du travail. Le système sera ensuite comparé à ce jeu de référence.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16"/>
        <w:gridCol w:w="3216"/>
        <w:gridCol w:w="3216"/>
      </w:tblGrid>
      <w:tr>
        <w:tc>
          <w:tcPr>
            <w:tcW w:type="dxa" w:w="1512"/>
            <w:shd w:fill="26374A"/>
            <w:vAlign w:val="center"/>
            <w:tcMar>
              <w:top w:w="100" w:type="dxa"/>
              <w:start w:w="110" w:type="dxa"/>
              <w:bottom w:w="100" w:type="dxa"/>
              <w:end w:w="110" w:type="dxa"/>
            </w:tcMar>
          </w:tcPr>
          <w:p>
            <w:pPr>
              <w:jc w:val="center"/>
            </w:pPr>
            <w:r>
              <w:rPr>
                <w:b/>
                <w:color w:val="FFFFFF"/>
                <w:sz w:val="18"/>
              </w:rPr>
              <w:t>Dimension</w:t>
            </w:r>
          </w:p>
        </w:tc>
        <w:tc>
          <w:tcPr>
            <w:tcW w:type="dxa" w:w="4032"/>
            <w:shd w:fill="26374A"/>
            <w:vAlign w:val="center"/>
            <w:tcMar>
              <w:top w:w="100" w:type="dxa"/>
              <w:start w:w="110" w:type="dxa"/>
              <w:bottom w:w="100" w:type="dxa"/>
              <w:end w:w="110" w:type="dxa"/>
            </w:tcMar>
          </w:tcPr>
          <w:p>
            <w:pPr>
              <w:jc w:val="center"/>
            </w:pPr>
            <w:r>
              <w:rPr>
                <w:b/>
                <w:color w:val="FFFFFF"/>
                <w:sz w:val="18"/>
              </w:rPr>
              <w:t>Indicateur</w:t>
            </w:r>
          </w:p>
        </w:tc>
        <w:tc>
          <w:tcPr>
            <w:tcW w:type="dxa" w:w="4680"/>
            <w:shd w:fill="26374A"/>
            <w:vAlign w:val="center"/>
            <w:tcMar>
              <w:top w:w="100" w:type="dxa"/>
              <w:start w:w="110" w:type="dxa"/>
              <w:bottom w:w="100" w:type="dxa"/>
              <w:end w:w="110" w:type="dxa"/>
            </w:tcMar>
          </w:tcPr>
          <w:p>
            <w:pPr>
              <w:jc w:val="center"/>
            </w:pPr>
            <w:r>
              <w:rPr>
                <w:b/>
                <w:color w:val="FFFFFF"/>
                <w:sz w:val="18"/>
              </w:rPr>
              <w:t>Question</w:t>
            </w:r>
          </w:p>
        </w:tc>
      </w:tr>
      <w:tr>
        <w:tc>
          <w:tcPr>
            <w:tcW w:type="dxa" w:w="1512"/>
            <w:vAlign w:val="center"/>
            <w:tcMar>
              <w:top w:w="100" w:type="dxa"/>
              <w:start w:w="110" w:type="dxa"/>
              <w:bottom w:w="100" w:type="dxa"/>
              <w:end w:w="110" w:type="dxa"/>
            </w:tcMar>
          </w:tcPr>
          <w:p>
            <w:pPr>
              <w:jc w:val="left"/>
            </w:pPr>
            <w:r>
              <w:rPr>
                <w:sz w:val="17"/>
              </w:rPr>
              <w:t>Traçabilité</w:t>
            </w:r>
          </w:p>
        </w:tc>
        <w:tc>
          <w:tcPr>
            <w:tcW w:type="dxa" w:w="4032"/>
            <w:vAlign w:val="center"/>
            <w:tcMar>
              <w:top w:w="100" w:type="dxa"/>
              <w:start w:w="110" w:type="dxa"/>
              <w:bottom w:w="100" w:type="dxa"/>
              <w:end w:w="110" w:type="dxa"/>
            </w:tcMar>
          </w:tcPr>
          <w:p>
            <w:pPr>
              <w:jc w:val="left"/>
            </w:pPr>
            <w:r>
              <w:rPr>
                <w:sz w:val="17"/>
              </w:rPr>
              <w:t>Proportion de propositions reliées à un segment</w:t>
            </w:r>
          </w:p>
        </w:tc>
        <w:tc>
          <w:tcPr>
            <w:tcW w:type="dxa" w:w="4680"/>
            <w:vAlign w:val="center"/>
            <w:tcMar>
              <w:top w:w="100" w:type="dxa"/>
              <w:start w:w="110" w:type="dxa"/>
              <w:bottom w:w="100" w:type="dxa"/>
              <w:end w:w="110" w:type="dxa"/>
            </w:tcMar>
          </w:tcPr>
          <w:p>
            <w:pPr>
              <w:jc w:val="left"/>
            </w:pPr>
            <w:r>
              <w:rPr>
                <w:sz w:val="17"/>
              </w:rPr>
              <w:t>Peut-on retrouver la preuve invoquée</w:t>
            </w:r>
          </w:p>
        </w:tc>
      </w:tr>
      <w:tr>
        <w:tc>
          <w:tcPr>
            <w:tcW w:type="dxa" w:w="1512"/>
            <w:vAlign w:val="center"/>
            <w:tcMar>
              <w:top w:w="100" w:type="dxa"/>
              <w:start w:w="110" w:type="dxa"/>
              <w:bottom w:w="100" w:type="dxa"/>
              <w:end w:w="110" w:type="dxa"/>
            </w:tcMar>
            <w:shd w:fill="F2F5F8"/>
          </w:tcPr>
          <w:p>
            <w:pPr>
              <w:jc w:val="left"/>
            </w:pPr>
            <w:r>
              <w:rPr>
                <w:sz w:val="17"/>
              </w:rPr>
              <w:t>Fidélité</w:t>
            </w:r>
          </w:p>
        </w:tc>
        <w:tc>
          <w:tcPr>
            <w:tcW w:type="dxa" w:w="4032"/>
            <w:vAlign w:val="center"/>
            <w:tcMar>
              <w:top w:w="100" w:type="dxa"/>
              <w:start w:w="110" w:type="dxa"/>
              <w:bottom w:w="100" w:type="dxa"/>
              <w:end w:w="110" w:type="dxa"/>
            </w:tcMar>
            <w:shd w:fill="F2F5F8"/>
          </w:tcPr>
          <w:p>
            <w:pPr>
              <w:jc w:val="left"/>
            </w:pPr>
            <w:r>
              <w:rPr>
                <w:sz w:val="17"/>
              </w:rPr>
              <w:t>Taux d’extractions confirmées</w:t>
            </w:r>
          </w:p>
        </w:tc>
        <w:tc>
          <w:tcPr>
            <w:tcW w:type="dxa" w:w="4680"/>
            <w:vAlign w:val="center"/>
            <w:tcMar>
              <w:top w:w="100" w:type="dxa"/>
              <w:start w:w="110" w:type="dxa"/>
              <w:bottom w:w="100" w:type="dxa"/>
              <w:end w:w="110" w:type="dxa"/>
            </w:tcMar>
            <w:shd w:fill="F2F5F8"/>
          </w:tcPr>
          <w:p>
            <w:pPr>
              <w:jc w:val="left"/>
            </w:pPr>
            <w:r>
              <w:rPr>
                <w:sz w:val="17"/>
              </w:rPr>
              <w:t>L’objet respecte-t-il le texte source</w:t>
            </w:r>
          </w:p>
        </w:tc>
      </w:tr>
      <w:tr>
        <w:tc>
          <w:tcPr>
            <w:tcW w:type="dxa" w:w="1512"/>
            <w:vAlign w:val="center"/>
            <w:tcMar>
              <w:top w:w="100" w:type="dxa"/>
              <w:start w:w="110" w:type="dxa"/>
              <w:bottom w:w="100" w:type="dxa"/>
              <w:end w:w="110" w:type="dxa"/>
            </w:tcMar>
          </w:tcPr>
          <w:p>
            <w:pPr>
              <w:jc w:val="left"/>
            </w:pPr>
            <w:r>
              <w:rPr>
                <w:sz w:val="17"/>
              </w:rPr>
              <w:t>Accord</w:t>
            </w:r>
          </w:p>
        </w:tc>
        <w:tc>
          <w:tcPr>
            <w:tcW w:type="dxa" w:w="4032"/>
            <w:vAlign w:val="center"/>
            <w:tcMar>
              <w:top w:w="100" w:type="dxa"/>
              <w:start w:w="110" w:type="dxa"/>
              <w:bottom w:w="100" w:type="dxa"/>
              <w:end w:w="110" w:type="dxa"/>
            </w:tcMar>
          </w:tcPr>
          <w:p>
            <w:pPr>
              <w:jc w:val="left"/>
            </w:pPr>
            <w:r>
              <w:rPr>
                <w:sz w:val="17"/>
              </w:rPr>
              <w:t>Accord interannotateurs par type de relation</w:t>
            </w:r>
          </w:p>
        </w:tc>
        <w:tc>
          <w:tcPr>
            <w:tcW w:type="dxa" w:w="4680"/>
            <w:vAlign w:val="center"/>
            <w:tcMar>
              <w:top w:w="100" w:type="dxa"/>
              <w:start w:w="110" w:type="dxa"/>
              <w:bottom w:w="100" w:type="dxa"/>
              <w:end w:w="110" w:type="dxa"/>
            </w:tcMar>
          </w:tcPr>
          <w:p>
            <w:pPr>
              <w:jc w:val="left"/>
            </w:pPr>
            <w:r>
              <w:rPr>
                <w:sz w:val="17"/>
              </w:rPr>
              <w:t>Les catégories sont-elles assez définies</w:t>
            </w:r>
          </w:p>
        </w:tc>
      </w:tr>
      <w:tr>
        <w:tc>
          <w:tcPr>
            <w:tcW w:type="dxa" w:w="1512"/>
            <w:vAlign w:val="center"/>
            <w:tcMar>
              <w:top w:w="100" w:type="dxa"/>
              <w:start w:w="110" w:type="dxa"/>
              <w:bottom w:w="100" w:type="dxa"/>
              <w:end w:w="110" w:type="dxa"/>
            </w:tcMar>
            <w:shd w:fill="F2F5F8"/>
          </w:tcPr>
          <w:p>
            <w:pPr>
              <w:jc w:val="left"/>
            </w:pPr>
            <w:r>
              <w:rPr>
                <w:sz w:val="17"/>
              </w:rPr>
              <w:t>Contradiction</w:t>
            </w:r>
          </w:p>
        </w:tc>
        <w:tc>
          <w:tcPr>
            <w:tcW w:type="dxa" w:w="4032"/>
            <w:vAlign w:val="center"/>
            <w:tcMar>
              <w:top w:w="100" w:type="dxa"/>
              <w:start w:w="110" w:type="dxa"/>
              <w:bottom w:w="100" w:type="dxa"/>
              <w:end w:w="110" w:type="dxa"/>
            </w:tcMar>
            <w:shd w:fill="F2F5F8"/>
          </w:tcPr>
          <w:p>
            <w:pPr>
              <w:jc w:val="left"/>
            </w:pPr>
            <w:r>
              <w:rPr>
                <w:sz w:val="17"/>
              </w:rPr>
              <w:t>Contradictions détectées sur un jeu construit</w:t>
            </w:r>
          </w:p>
        </w:tc>
        <w:tc>
          <w:tcPr>
            <w:tcW w:type="dxa" w:w="4680"/>
            <w:vAlign w:val="center"/>
            <w:tcMar>
              <w:top w:w="100" w:type="dxa"/>
              <w:start w:w="110" w:type="dxa"/>
              <w:bottom w:w="100" w:type="dxa"/>
              <w:end w:w="110" w:type="dxa"/>
            </w:tcMar>
            <w:shd w:fill="F2F5F8"/>
          </w:tcPr>
          <w:p>
            <w:pPr>
              <w:jc w:val="left"/>
            </w:pPr>
            <w:r>
              <w:rPr>
                <w:sz w:val="17"/>
              </w:rPr>
              <w:t>Le système rouvre-t-il une structure stabilisée</w:t>
            </w:r>
          </w:p>
        </w:tc>
      </w:tr>
      <w:tr>
        <w:tc>
          <w:tcPr>
            <w:tcW w:type="dxa" w:w="1512"/>
            <w:vAlign w:val="center"/>
            <w:tcMar>
              <w:top w:w="100" w:type="dxa"/>
              <w:start w:w="110" w:type="dxa"/>
              <w:bottom w:w="100" w:type="dxa"/>
              <w:end w:w="110" w:type="dxa"/>
            </w:tcMar>
          </w:tcPr>
          <w:p>
            <w:pPr>
              <w:jc w:val="left"/>
            </w:pPr>
            <w:r>
              <w:rPr>
                <w:sz w:val="17"/>
              </w:rPr>
              <w:t>Révision</w:t>
            </w:r>
          </w:p>
        </w:tc>
        <w:tc>
          <w:tcPr>
            <w:tcW w:type="dxa" w:w="4032"/>
            <w:vAlign w:val="center"/>
            <w:tcMar>
              <w:top w:w="100" w:type="dxa"/>
              <w:start w:w="110" w:type="dxa"/>
              <w:bottom w:w="100" w:type="dxa"/>
              <w:end w:w="110" w:type="dxa"/>
            </w:tcMar>
          </w:tcPr>
          <w:p>
            <w:pPr>
              <w:jc w:val="left"/>
            </w:pPr>
            <w:r>
              <w:rPr>
                <w:sz w:val="17"/>
              </w:rPr>
              <w:t>Temps et pertes lors d’un changement de source</w:t>
            </w:r>
          </w:p>
        </w:tc>
        <w:tc>
          <w:tcPr>
            <w:tcW w:type="dxa" w:w="4680"/>
            <w:vAlign w:val="center"/>
            <w:tcMar>
              <w:top w:w="100" w:type="dxa"/>
              <w:start w:w="110" w:type="dxa"/>
              <w:bottom w:w="100" w:type="dxa"/>
              <w:end w:w="110" w:type="dxa"/>
            </w:tcMar>
          </w:tcPr>
          <w:p>
            <w:pPr>
              <w:jc w:val="left"/>
            </w:pPr>
            <w:r>
              <w:rPr>
                <w:sz w:val="17"/>
              </w:rPr>
              <w:t>La provenance permet-elle une mise à jour ciblée</w:t>
            </w:r>
          </w:p>
        </w:tc>
      </w:tr>
      <w:tr>
        <w:tc>
          <w:tcPr>
            <w:tcW w:type="dxa" w:w="1512"/>
            <w:vAlign w:val="center"/>
            <w:tcMar>
              <w:top w:w="100" w:type="dxa"/>
              <w:start w:w="110" w:type="dxa"/>
              <w:bottom w:w="100" w:type="dxa"/>
              <w:end w:w="110" w:type="dxa"/>
            </w:tcMar>
            <w:shd w:fill="F2F5F8"/>
          </w:tcPr>
          <w:p>
            <w:pPr>
              <w:jc w:val="left"/>
            </w:pPr>
            <w:r>
              <w:rPr>
                <w:sz w:val="17"/>
              </w:rPr>
              <w:t>Utilité</w:t>
            </w:r>
          </w:p>
        </w:tc>
        <w:tc>
          <w:tcPr>
            <w:tcW w:type="dxa" w:w="4032"/>
            <w:vAlign w:val="center"/>
            <w:tcMar>
              <w:top w:w="100" w:type="dxa"/>
              <w:start w:w="110" w:type="dxa"/>
              <w:bottom w:w="100" w:type="dxa"/>
              <w:end w:w="110" w:type="dxa"/>
            </w:tcMar>
            <w:shd w:fill="F2F5F8"/>
          </w:tcPr>
          <w:p>
            <w:pPr>
              <w:jc w:val="left"/>
            </w:pPr>
            <w:r>
              <w:rPr>
                <w:sz w:val="17"/>
              </w:rPr>
              <w:t>Évaluation aveugle par des historiens</w:t>
            </w:r>
          </w:p>
        </w:tc>
        <w:tc>
          <w:tcPr>
            <w:tcW w:type="dxa" w:w="4680"/>
            <w:vAlign w:val="center"/>
            <w:tcMar>
              <w:top w:w="100" w:type="dxa"/>
              <w:start w:w="110" w:type="dxa"/>
              <w:bottom w:w="100" w:type="dxa"/>
              <w:end w:w="110" w:type="dxa"/>
            </w:tcMar>
            <w:shd w:fill="F2F5F8"/>
          </w:tcPr>
          <w:p>
            <w:pPr>
              <w:jc w:val="left"/>
            </w:pPr>
            <w:r>
              <w:rPr>
                <w:sz w:val="17"/>
              </w:rPr>
              <w:t>Le dossier améliore-t-il l’examen critique</w:t>
            </w:r>
          </w:p>
        </w:tc>
      </w:tr>
    </w:tbl>
    <w:p>
      <w:pPr>
        <w:spacing w:after="20"/>
        <w:widowControl/>
      </w:pPr>
    </w:p>
    <w:p>
      <w:pPr>
        <w:widowControl/>
      </w:pPr>
      <w:r>
        <w:t>Le test de contradiction est central. Lorsqu’une nouvelle source contredit une relation essentielle, SESH_Histoire doit retirer le statut stabilisé de la structure concernée et signaler les conclusions dépendantes. Cette propriété rejoint les travaux du projet Rocq-SESH sur la persistance, la stabilisation et la reconstruction. La preuve formelle peut garantir le comportement logique du mécanisme de révision. Elle ne certifie pas la vérité des prémisses historiques fournies au mécanisme.</w:t>
      </w:r>
    </w:p>
    <w:p>
      <w:pPr>
        <w:pStyle w:val="Heading1"/>
        <w:widowControl/>
      </w:pPr>
      <w:r>
        <w:t>Résultats attendus et critères de publication</w:t>
      </w:r>
    </w:p>
    <w:p>
      <w:pPr>
        <w:widowControl/>
      </w:pPr>
      <w:r>
        <w:t>Le présent article formule une méthode et un protocole ; il ne rapporte pas encore une expérimentation achevée sur un corpus publié. Un futur article de résultats devra fournir le nombre de documents, leur distribution, les règles d’annotation, les versions du code, les paramètres, les mesures d’accord, les erreurs et des exemples de structures acceptées ou rejetées. L’absence de résultat quantitatif à ce stade interdit de conclure à une amélioration mesurée de la qualité historiographique.</w:t>
      </w:r>
    </w:p>
    <w:p>
      <w:pPr>
        <w:widowControl/>
      </w:pPr>
      <w:r>
        <w:t>Une première expérimentation sera considérée comme concluante si toutes les propositions importantes peuvent être retracées, si une contradiction modifie correctement les conclusions dépendantes, si les chercheurs comprennent les catégories et si le système met en évidence au moins une lacune documentaire ou une hypothèse concurrente utile. La simple production d’un récit fluent ne constituera pas un résultat scientifique.</w:t>
      </w:r>
    </w:p>
    <w:p>
      <w:pPr>
        <w:pStyle w:val="Heading1"/>
        <w:widowControl/>
      </w:pPr>
      <w:r>
        <w:t>Discussion</w:t>
      </w:r>
    </w:p>
    <w:p>
      <w:pPr>
        <w:pStyle w:val="Heading2"/>
        <w:widowControl/>
      </w:pPr>
      <w:r>
        <w:t>Apports</w:t>
      </w:r>
    </w:p>
    <w:p>
      <w:pPr>
        <w:widowControl/>
      </w:pPr>
      <w:r>
        <w:t>SESH_Histoire apporte d’abord une granularité de preuve. La relation entre un extrait et une conclusion devient un objet consultable. Il apporte ensuite une mémoire de la révision, nécessaire lorsque le corpus évolue. Enfin, il rend comparables plusieurs architectures interprétatives sans imposer qu’une seule soit produite dès le début de l’analyse.</w:t>
      </w:r>
    </w:p>
    <w:p>
      <w:pPr>
        <w:widowControl/>
      </w:pPr>
      <w:r>
        <w:t>Cette méthode peut contribuer aux humanités numériques africaines lorsque les corpus sont fragmentés, multilingues et répartis entre archives publiques, collections privées et traditions orales. Elle doit néanmoins respecter les droits, les sensibilités et les conditions d’accès propres aux communautés qui produisent ou conservent ces sources. L’ouverture des données ne doit pas conduire à publier sans autorisation des témoignages sensibles.</w:t>
      </w:r>
    </w:p>
    <w:p>
      <w:pPr>
        <w:pStyle w:val="Heading2"/>
        <w:widowControl/>
      </w:pPr>
      <w:r>
        <w:t>Limites</w:t>
      </w:r>
    </w:p>
    <w:p>
      <w:pPr>
        <w:widowControl/>
      </w:pPr>
      <w:r>
        <w:t>Le modèle dépend de la qualité et de la représentativité du corpus. Une provenance parfaite ne corrige pas un corpus profondément biaisé. Les catégories peuvent également imposer la théorie du concepteur aux documents. Leur définition doit donc être publiée et soumise à la critique. Les sources orales, les images et les silences d’archives exigent des traitements que le modèle textuel initial ne couvre pas entièrement.</w:t>
      </w:r>
    </w:p>
    <w:p>
      <w:pPr>
        <w:widowControl/>
      </w:pPr>
      <w:r>
        <w:t>La notion de survivance présente un risque particulier d’extension excessive. Pour éviter qu’elle devienne une explication universelle, SESH_Histoire doit exiger un support de transmission et enregistrer les discontinuités. Une survivance peut comporter des transformations substantielles ; celles-ci doivent être décrites au lieu d’être effacées par une identité de vocabulaire.</w:t>
      </w:r>
    </w:p>
    <w:p>
      <w:pPr>
        <w:pStyle w:val="Heading2"/>
        <w:widowControl/>
      </w:pPr>
      <w:r>
        <w:t>Éthique et gouvernance</w:t>
      </w:r>
    </w:p>
    <w:p>
      <w:pPr>
        <w:widowControl/>
      </w:pPr>
      <w:r>
        <w:t>Le chercheur reste responsable des choix de corpus, des catégories et de la publication. Les personnes citées dans des témoignages doivent bénéficier des protections appropriées. Les sorties doivent mentionner les incertitudes et permettre la correction. Si des modèles d’intelligence artificielle sont utilisés pour l’extraction, leur nom, leur version, les instructions pertinentes et le contrôle humain doivent être documentés dans la mesure permise par les conditions techniques et juridiques.</w:t>
      </w:r>
    </w:p>
    <w:p>
      <w:pPr>
        <w:pStyle w:val="Heading1"/>
        <w:widowControl/>
      </w:pPr>
      <w:r>
        <w:t>Conclusion</w:t>
      </w:r>
    </w:p>
    <w:p>
      <w:pPr>
        <w:widowControl/>
      </w:pPr>
      <w:r>
        <w:t>SESH_Histoire peut soutenir la production d’articles scientifiques à condition d’être employé comme instrument de reconstruction traçable et non comme autorité historique autonome. Sa contribution spécifique tient à l’enchaînement explicite des expressions, relations, formes, structures candidates et architectures. Cet enchaînement donne une place formelle au doute, à la contradiction et à la révision.</w:t>
      </w:r>
    </w:p>
    <w:p>
      <w:pPr>
        <w:widowControl/>
      </w:pPr>
      <w:r>
        <w:t>L’étude pilote sur l’abolition du travail forcé doit maintenant passer de la proposition au test. La prochaine étape consiste à constituer un corpus borné, publier son schéma de métadonnées, annoter un échantillon à plusieurs chercheurs et exécuter le pipeline. Les résultats permettront de transformer cette proposition méthodologique en article expérimental et d’évaluer la valeur réelle de SESH_Histoire pour la recherche.</w:t>
      </w:r>
    </w:p>
    <w:p>
      <w:pPr>
        <w:pStyle w:val="Heading1"/>
        <w:widowControl/>
      </w:pPr>
      <w:r>
        <w:t>Disponibilité des données et du code</w:t>
      </w:r>
    </w:p>
    <w:p>
      <w:pPr>
        <w:widowControl/>
      </w:pPr>
      <w:r>
        <w:t>Le corpus, les annotations, le schéma, les règles et le code associés à l’étude pilote seront déposés dans un espace versionné lorsque les droits des documents le permettront. Chaque publication devra identifier une version précise. Les sources soumises à restriction seront décrites par leurs métadonnées et par une procédure d’accès, sans diffusion non autorisée.</w:t>
      </w:r>
    </w:p>
    <w:p>
      <w:pPr>
        <w:pStyle w:val="Heading1"/>
        <w:widowControl/>
      </w:pPr>
      <w:r>
        <w:t>Déclaration relative aux outils génératifs</w:t>
      </w:r>
    </w:p>
    <w:p>
      <w:pPr>
        <w:widowControl/>
      </w:pPr>
      <w:r>
        <w:t>Un outil d’intelligence artificielle générative a assisté la structuration et la rédaction initiale de ce manuscrit sous la direction de l’auteur. L’auteur doit vérifier les références, valider les analyses, déclarer l’usage conformément aux règles de la revue choisie et assumer la responsabilité du texte soumis.</w:t>
      </w:r>
    </w:p>
    <w:p>
      <w:pPr>
        <w:pStyle w:val="Heading1"/>
        <w:widowControl/>
      </w:pPr>
      <w:r>
        <w:t>Références</w:t>
      </w:r>
    </w:p>
    <w:p>
      <w:pPr>
        <w:spacing w:after="120"/>
        <w:ind w:left="432" w:hanging="432"/>
        <w:widowControl/>
      </w:pPr>
      <w:r>
        <w:t>Adhout, F. C. (2026). Houphouëtisme et transmission historique. Manuscrit de recherche.</w:t>
      </w:r>
    </w:p>
    <w:p>
      <w:pPr>
        <w:spacing w:after="120"/>
        <w:ind w:left="432" w:hanging="432"/>
        <w:widowControl/>
      </w:pPr>
      <w:r>
        <w:t>Burrows, T. (2023). Reproducibility, verifiability, and computational historical research. International Journal of Digital Humanities, 5, 283–298. https://doi.org/10.1007/s42803-023-00068-9</w:t>
      </w:r>
    </w:p>
    <w:p>
      <w:pPr>
        <w:spacing w:after="120"/>
        <w:ind w:left="432" w:hanging="432"/>
        <w:widowControl/>
      </w:pPr>
      <w:r>
        <w:t>France. (1946). Loi no 46-645 du 11 avril 1946 tendant à la suppression du travail forcé dans les territoires d’outre-mer. Journal officiel de la République française.</w:t>
      </w:r>
    </w:p>
    <w:p>
      <w:pPr>
        <w:spacing w:after="120"/>
        <w:ind w:left="432" w:hanging="432"/>
        <w:widowControl/>
      </w:pPr>
      <w:r>
        <w:t>Lebo, T., Sahoo, S., &amp; McGuinness, D. (Eds.). (2013). PROV-O The PROV Ontology. W3C Recommendation. https://www.w3.org/TR/prov-o/</w:t>
      </w:r>
    </w:p>
    <w:p>
      <w:pPr>
        <w:spacing w:after="120"/>
        <w:ind w:left="432" w:hanging="432"/>
        <w:widowControl/>
      </w:pPr>
      <w:r>
        <w:t>UNESCO. (2021). Recommandation de l’UNESCO sur une science ouverte. UNESCO.</w:t>
      </w:r>
    </w:p>
    <w:p>
      <w:pPr>
        <w:spacing w:after="120"/>
        <w:ind w:left="432" w:hanging="432"/>
        <w:widowControl/>
      </w:pPr>
      <w:r>
        <w:t>Wilkinson, M. D., Dumontier, M., Aalbersberg, I. J., et al. (2016). The FAIR Guiding Principles for scientific data management and stewardship. Scientific Data, 3, 160018. https://doi.org/10.1038/sdata.2016.18</w:t>
      </w:r>
    </w:p>
    <w:p>
      <w:pPr>
        <w:pStyle w:val="Heading1"/>
        <w:widowControl/>
      </w:pPr>
      <w:r>
        <w:t>Sources en ligne consultées</w:t>
      </w:r>
    </w:p>
    <w:p>
      <w:pPr>
        <w:widowControl/>
      </w:pPr>
      <w:hyperlink r:id="rId9">
        <w:r>
          <w:rPr>
            <w:color w:val="1F4E79"/>
            <w:u w:val="single"/>
          </w:rPr>
          <w:t>Légifrance  Loi no 46-645 du 11 avril 1946</w:t>
        </w:r>
      </w:hyperlink>
    </w:p>
    <w:p>
      <w:pPr>
        <w:widowControl/>
      </w:pPr>
      <w:hyperlink r:id="rId10">
        <w:r>
          <w:rPr>
            <w:color w:val="1F4E79"/>
            <w:u w:val="single"/>
          </w:rPr>
          <w:t>W3C  PROV-O The PROV Ontology</w:t>
        </w:r>
      </w:hyperlink>
    </w:p>
    <w:p>
      <w:pPr>
        <w:widowControl/>
      </w:pPr>
      <w:hyperlink r:id="rId11">
        <w:r>
          <w:rPr>
            <w:color w:val="1F4E79"/>
            <w:u w:val="single"/>
          </w:rPr>
          <w:t>Scientific Data  FAIR Guiding Principles</w:t>
        </w:r>
      </w:hyperlink>
    </w:p>
    <w:p>
      <w:pPr>
        <w:widowControl/>
      </w:pPr>
      <w:hyperlink r:id="rId12">
        <w:r>
          <w:rPr>
            <w:color w:val="1F4E79"/>
            <w:u w:val="single"/>
          </w:rPr>
          <w:t>Springer  Reproducibility verifiability and computational historical research</w:t>
        </w:r>
      </w:hyperlink>
    </w:p>
    <w:sectPr w:rsidR="00FC693F" w:rsidRPr="0006063C" w:rsidSect="00034616">
      <w:headerReference w:type="default" r:id="rId13"/>
      <w:footerReference w:type="default" r:id="rId14"/>
      <w:pgSz w:w="12240" w:h="15840"/>
      <w:pgMar w:top="1123" w:right="1296" w:bottom="1037"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Frédéric Charles ADHOUT   Université Houphouëtisme de Recherche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A5A5A"/>
        <w:sz w:val="16"/>
      </w:rPr>
      <w:t>SESH Histoire  Reconstruction historiographique assistée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jc w:val="both"/>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Aptos Display" w:hAnsi="Aptos Display"/>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Aptos" w:hAnsi="Aptos"/>
      <w:b w:val="0"/>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
    <w:name w:val="Abstract"/>
    <w:basedOn w:val="Normal"/>
    <w:pPr>
      <w:spacing w:after="100"/>
      <w:ind w:left="504" w:right="504"/>
    </w:pPr>
    <w:rPr>
      <w:i w:val="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legifrance.gouv.fr/loda/id/JORFTEXT000000315528" TargetMode="External"/><Relationship Id="rId10" Type="http://schemas.openxmlformats.org/officeDocument/2006/relationships/hyperlink" Target="https://www.w3.org/TR/prov-o/" TargetMode="External"/><Relationship Id="rId11" Type="http://schemas.openxmlformats.org/officeDocument/2006/relationships/hyperlink" Target="https://doi.org/10.1038/sdata.2016.18" TargetMode="External"/><Relationship Id="rId12" Type="http://schemas.openxmlformats.org/officeDocument/2006/relationships/hyperlink" Target="https://doi.org/10.1007/s42803-023-00068-9" TargetMode="External"/><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SESH Histoire et reconstruction historiographique assistée</dc:title>
  <dc:subject>Méthode de recherche en histoire numérique</dc:subject>
  <dc:creator>Frédéric Charles ADHOUT</dc:creator>
  <cp:keywords>SESH_Histoire, historiographie, provenance, survivance, travail forcé</cp:keywords>
  <dc:description>generated by python-docx</dc:description>
  <cp:lastModifiedBy/>
  <cp:revision>1</cp:revision>
  <dcterms:created xsi:type="dcterms:W3CDTF">2013-12-23T23:15:00Z</dcterms:created>
  <dcterms:modified xsi:type="dcterms:W3CDTF">2013-12-23T23:15:00Z</dcterms:modified>
  <cp:category/>
</cp:coreProperties>
</file>